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page" w:horzAnchor="page" w:tblpX="1" w:tblpY="1"/>
        <w:tblW w:w="0" w:type="auto"/>
        <w:shd w:val="clear" w:color="auto" w:fill="FF7C80"/>
        <w:tblLook w:val="04A0"/>
      </w:tblPr>
      <w:tblGrid>
        <w:gridCol w:w="1440"/>
        <w:gridCol w:w="5614"/>
      </w:tblGrid>
      <w:tr w:rsidR="00074AB2" w:rsidRPr="00AA69BB" w:rsidTr="0033655D">
        <w:trPr>
          <w:trHeight w:val="1440"/>
        </w:trPr>
        <w:tc>
          <w:tcPr>
            <w:tcW w:w="1440" w:type="dxa"/>
            <w:shd w:val="clear" w:color="auto" w:fill="4CAEAC"/>
          </w:tcPr>
          <w:p w:rsidR="00074AB2" w:rsidRPr="00AA69BB" w:rsidRDefault="00074AB2" w:rsidP="00074AB2">
            <w:pPr>
              <w:rPr>
                <w:rFonts w:ascii="Times New Roman" w:hAnsi="Times New Roman"/>
                <w:sz w:val="96"/>
                <w:szCs w:val="28"/>
              </w:rPr>
            </w:pPr>
          </w:p>
        </w:tc>
        <w:tc>
          <w:tcPr>
            <w:tcW w:w="5614" w:type="dxa"/>
            <w:shd w:val="clear" w:color="auto" w:fill="F2F2F2" w:themeFill="background1" w:themeFillShade="F2"/>
            <w:vAlign w:val="bottom"/>
          </w:tcPr>
          <w:p w:rsidR="00074AB2" w:rsidRPr="00AA69BB" w:rsidRDefault="00E1094B" w:rsidP="0033655D">
            <w:pPr>
              <w:pStyle w:val="ac"/>
              <w:rPr>
                <w:rFonts w:ascii="Times New Roman" w:hAnsi="Times New Roman"/>
                <w:b/>
                <w:bCs/>
                <w:sz w:val="96"/>
                <w:szCs w:val="28"/>
              </w:rPr>
            </w:pPr>
            <w:r w:rsidRPr="00AA69BB">
              <w:rPr>
                <w:rFonts w:ascii="Times New Roman" w:hAnsi="Times New Roman"/>
                <w:b/>
                <w:bCs/>
                <w:sz w:val="56"/>
                <w:szCs w:val="28"/>
              </w:rPr>
              <w:t>202</w:t>
            </w:r>
            <w:r w:rsidR="0033655D" w:rsidRPr="00AA69BB">
              <w:rPr>
                <w:rFonts w:ascii="Times New Roman" w:hAnsi="Times New Roman"/>
                <w:b/>
                <w:bCs/>
                <w:sz w:val="56"/>
                <w:szCs w:val="28"/>
              </w:rPr>
              <w:t>3</w:t>
            </w:r>
          </w:p>
        </w:tc>
      </w:tr>
      <w:tr w:rsidR="00074AB2" w:rsidRPr="00AA69BB" w:rsidTr="00D16E22">
        <w:trPr>
          <w:trHeight w:val="2530"/>
        </w:trPr>
        <w:tc>
          <w:tcPr>
            <w:tcW w:w="1440" w:type="dxa"/>
            <w:shd w:val="clear" w:color="auto" w:fill="B6DDE8" w:themeFill="accent5" w:themeFillTint="66"/>
          </w:tcPr>
          <w:p w:rsidR="00074AB2" w:rsidRPr="00AA69BB" w:rsidRDefault="00074AB2" w:rsidP="00074A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14" w:type="dxa"/>
            <w:shd w:val="clear" w:color="auto" w:fill="auto"/>
            <w:vAlign w:val="center"/>
          </w:tcPr>
          <w:p w:rsidR="0001467E" w:rsidRPr="00AA69BB" w:rsidRDefault="00074AB2" w:rsidP="00074AB2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sz w:val="28"/>
                <w:szCs w:val="28"/>
              </w:rPr>
              <w:t>Администрация городского округа город Рыбинск</w:t>
            </w:r>
          </w:p>
          <w:p w:rsidR="00E23D48" w:rsidRPr="00AA69BB" w:rsidRDefault="00E23D48" w:rsidP="00074AB2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sz w:val="28"/>
                <w:szCs w:val="28"/>
              </w:rPr>
              <w:t xml:space="preserve">Ярославской области </w:t>
            </w:r>
          </w:p>
        </w:tc>
      </w:tr>
    </w:tbl>
    <w:p w:rsidR="00ED262D" w:rsidRPr="00AA69BB" w:rsidRDefault="00ED262D">
      <w:pPr>
        <w:rPr>
          <w:rFonts w:ascii="Times New Roman" w:hAnsi="Times New Roman"/>
          <w:sz w:val="28"/>
          <w:szCs w:val="28"/>
        </w:rPr>
      </w:pPr>
    </w:p>
    <w:p w:rsidR="00ED262D" w:rsidRPr="00AA69BB" w:rsidRDefault="00ED262D">
      <w:pPr>
        <w:rPr>
          <w:rFonts w:ascii="Times New Roman" w:hAnsi="Times New Roman"/>
          <w:sz w:val="28"/>
          <w:szCs w:val="28"/>
        </w:rPr>
      </w:pPr>
    </w:p>
    <w:p w:rsidR="00ED262D" w:rsidRPr="00AA69BB" w:rsidRDefault="00ED262D">
      <w:pPr>
        <w:rPr>
          <w:rFonts w:ascii="Times New Roman" w:hAnsi="Times New Roman"/>
          <w:sz w:val="28"/>
          <w:szCs w:val="28"/>
        </w:rPr>
      </w:pPr>
    </w:p>
    <w:p w:rsidR="00E53688" w:rsidRPr="00AA69BB" w:rsidRDefault="00E53688">
      <w:pPr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E53688" w:rsidRPr="00AA69BB" w:rsidRDefault="00E53688">
      <w:pPr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E53688" w:rsidRPr="00AA69BB" w:rsidRDefault="00E53688">
      <w:pPr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E53688" w:rsidRPr="00AA69BB" w:rsidRDefault="00E53688">
      <w:pPr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074AB2" w:rsidRPr="00AA69BB" w:rsidRDefault="00074AB2" w:rsidP="00E53688">
      <w:pPr>
        <w:jc w:val="center"/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</w:pPr>
    </w:p>
    <w:p w:rsidR="00074AB2" w:rsidRPr="00AA69BB" w:rsidRDefault="00074AB2" w:rsidP="00E53688">
      <w:pPr>
        <w:jc w:val="center"/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</w:pPr>
    </w:p>
    <w:p w:rsidR="00074AB2" w:rsidRPr="00AA69BB" w:rsidRDefault="00074AB2" w:rsidP="00E53688">
      <w:pPr>
        <w:jc w:val="center"/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</w:pPr>
    </w:p>
    <w:p w:rsidR="00971BCD" w:rsidRPr="00AA69BB" w:rsidRDefault="00E23D48" w:rsidP="00E23D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69BB"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  <w:t>Отчет об оценк</w:t>
      </w:r>
      <w:r w:rsidR="00104270" w:rsidRPr="00AA69BB"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  <w:t>е</w:t>
      </w:r>
      <w:r w:rsidRPr="00AA69BB"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  <w:t xml:space="preserve"> степени достижения основных индикаторов выполнения </w:t>
      </w:r>
      <w:r w:rsidR="00B4659A" w:rsidRPr="00AA69BB"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  <w:t xml:space="preserve"> </w:t>
      </w:r>
      <w:r w:rsidRPr="00AA69BB"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  <w:t xml:space="preserve">стратегии социально-экономического развития </w:t>
      </w:r>
      <w:r w:rsidRPr="00AA69BB">
        <w:rPr>
          <w:rFonts w:ascii="Times New Roman" w:hAnsi="Times New Roman"/>
          <w:sz w:val="28"/>
          <w:szCs w:val="28"/>
        </w:rPr>
        <w:t xml:space="preserve"> ГОРОДСКОГО ОКРУГА ГОРОД РЫБИНСК НА 2018-2030 ГОДЫ</w:t>
      </w:r>
      <w:r w:rsidR="00993324" w:rsidRPr="00AA69BB">
        <w:rPr>
          <w:rFonts w:ascii="Times New Roman" w:hAnsi="Times New Roman"/>
          <w:sz w:val="28"/>
          <w:szCs w:val="28"/>
        </w:rPr>
        <w:t xml:space="preserve"> (СТРАТЕГИЯ-2030)</w:t>
      </w:r>
      <w:r w:rsidRPr="00AA69BB">
        <w:rPr>
          <w:rFonts w:ascii="Times New Roman" w:hAnsi="Times New Roman"/>
          <w:sz w:val="28"/>
          <w:szCs w:val="28"/>
        </w:rPr>
        <w:t>,</w:t>
      </w:r>
      <w:r w:rsidR="00B4659A" w:rsidRPr="00AA69BB">
        <w:rPr>
          <w:rFonts w:ascii="Times New Roman" w:eastAsia="Times New Roman" w:hAnsi="Times New Roman"/>
          <w:bCs/>
          <w:caps/>
          <w:sz w:val="28"/>
          <w:szCs w:val="28"/>
          <w:lang w:eastAsia="ru-RU"/>
        </w:rPr>
        <w:t xml:space="preserve"> муниципальных ПРОГРАММ </w:t>
      </w:r>
    </w:p>
    <w:p w:rsidR="00E53688" w:rsidRPr="00AA69BB" w:rsidRDefault="00B4659A" w:rsidP="00B4659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 xml:space="preserve">за </w:t>
      </w:r>
      <w:r w:rsidR="00E53688" w:rsidRPr="00AA69BB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 xml:space="preserve"> 20</w:t>
      </w:r>
      <w:r w:rsidR="0033655D" w:rsidRPr="00AA69BB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>22</w:t>
      </w:r>
      <w:r w:rsidR="00E53688" w:rsidRPr="00AA69BB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 xml:space="preserve"> ГОД</w:t>
      </w:r>
    </w:p>
    <w:p w:rsidR="00E53688" w:rsidRPr="00AA69BB" w:rsidRDefault="00E53688">
      <w:pPr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E53688" w:rsidRPr="00AA69BB" w:rsidRDefault="00E53688">
      <w:pPr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E53688" w:rsidRPr="00AA69BB" w:rsidRDefault="00E53688">
      <w:pPr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E53688" w:rsidRPr="00AA69BB" w:rsidRDefault="00E53688">
      <w:pPr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BE7F41" w:rsidRPr="00AA69BB" w:rsidRDefault="00BE7F41">
      <w:pPr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2864"/>
        <w:tblW w:w="10556" w:type="dxa"/>
        <w:tblLook w:val="04A0"/>
      </w:tblPr>
      <w:tblGrid>
        <w:gridCol w:w="8297"/>
        <w:gridCol w:w="2259"/>
      </w:tblGrid>
      <w:tr w:rsidR="00ED262D" w:rsidRPr="00AA69BB" w:rsidTr="00D16E22">
        <w:trPr>
          <w:trHeight w:val="89"/>
        </w:trPr>
        <w:tc>
          <w:tcPr>
            <w:tcW w:w="8297" w:type="dxa"/>
          </w:tcPr>
          <w:p w:rsidR="00ED262D" w:rsidRPr="00AA69BB" w:rsidRDefault="00ED262D" w:rsidP="00F32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sz w:val="28"/>
                <w:szCs w:val="28"/>
                <w:lang w:eastAsia="ru-RU"/>
              </w:rPr>
            </w:pPr>
          </w:p>
          <w:p w:rsidR="00ED262D" w:rsidRPr="00AA69BB" w:rsidRDefault="00ED262D" w:rsidP="00F32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sz w:val="28"/>
                <w:szCs w:val="28"/>
                <w:lang w:eastAsia="ru-RU"/>
              </w:rPr>
            </w:pPr>
          </w:p>
          <w:p w:rsidR="00ED262D" w:rsidRPr="00AA69BB" w:rsidRDefault="00ED262D" w:rsidP="00F32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sz w:val="28"/>
                <w:szCs w:val="28"/>
                <w:lang w:eastAsia="ru-RU"/>
              </w:rPr>
            </w:pPr>
          </w:p>
          <w:p w:rsidR="00ED262D" w:rsidRPr="00AA69BB" w:rsidRDefault="00ED262D" w:rsidP="00F32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2259" w:type="dxa"/>
            <w:shd w:val="clear" w:color="auto" w:fill="B6DDE8" w:themeFill="accent5" w:themeFillTint="66"/>
          </w:tcPr>
          <w:p w:rsidR="00ED262D" w:rsidRPr="00AA69BB" w:rsidRDefault="00ED262D" w:rsidP="00F32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sz w:val="28"/>
                <w:szCs w:val="28"/>
                <w:lang w:eastAsia="ru-RU"/>
              </w:rPr>
            </w:pPr>
          </w:p>
        </w:tc>
      </w:tr>
      <w:tr w:rsidR="00ED262D" w:rsidRPr="00AA69BB" w:rsidTr="0033655D">
        <w:trPr>
          <w:trHeight w:val="66"/>
        </w:trPr>
        <w:tc>
          <w:tcPr>
            <w:tcW w:w="8297" w:type="dxa"/>
            <w:shd w:val="clear" w:color="auto" w:fill="F2F2F2" w:themeFill="background1" w:themeFillShade="F2"/>
          </w:tcPr>
          <w:p w:rsidR="00E23D48" w:rsidRPr="00AA69BB" w:rsidRDefault="00E23D48" w:rsidP="00F32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aps/>
                <w:sz w:val="28"/>
                <w:szCs w:val="28"/>
                <w:lang w:eastAsia="ru-RU"/>
              </w:rPr>
            </w:pPr>
          </w:p>
          <w:p w:rsidR="00ED262D" w:rsidRPr="00AA69BB" w:rsidRDefault="00A36B5B" w:rsidP="00F32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aps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bCs/>
                <w:caps/>
                <w:sz w:val="28"/>
                <w:szCs w:val="28"/>
                <w:lang w:eastAsia="ru-RU"/>
              </w:rPr>
              <w:t>Управление экономиче</w:t>
            </w:r>
            <w:r w:rsidR="00FB1667" w:rsidRPr="00AA69BB">
              <w:rPr>
                <w:rFonts w:ascii="Times New Roman" w:eastAsia="Times New Roman" w:hAnsi="Times New Roman"/>
                <w:bCs/>
                <w:caps/>
                <w:sz w:val="28"/>
                <w:szCs w:val="28"/>
                <w:lang w:eastAsia="ru-RU"/>
              </w:rPr>
              <w:t>с</w:t>
            </w:r>
            <w:r w:rsidRPr="00AA69BB">
              <w:rPr>
                <w:rFonts w:ascii="Times New Roman" w:eastAsia="Times New Roman" w:hAnsi="Times New Roman"/>
                <w:bCs/>
                <w:caps/>
                <w:sz w:val="28"/>
                <w:szCs w:val="28"/>
                <w:lang w:eastAsia="ru-RU"/>
              </w:rPr>
              <w:t>кого развития и инвестиций</w:t>
            </w:r>
          </w:p>
          <w:p w:rsidR="00ED262D" w:rsidRPr="00AA69BB" w:rsidRDefault="00ED262D" w:rsidP="00F32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2259" w:type="dxa"/>
            <w:shd w:val="clear" w:color="auto" w:fill="4CAEAC"/>
          </w:tcPr>
          <w:p w:rsidR="00803FC4" w:rsidRPr="00AA69BB" w:rsidRDefault="00803FC4" w:rsidP="00F32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sz w:val="28"/>
                <w:szCs w:val="28"/>
                <w:lang w:eastAsia="ru-RU"/>
              </w:rPr>
            </w:pPr>
          </w:p>
          <w:p w:rsidR="00ED262D" w:rsidRPr="00AA69BB" w:rsidRDefault="00A36B5B" w:rsidP="00F32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b/>
                <w:bCs/>
                <w:caps/>
                <w:sz w:val="28"/>
                <w:szCs w:val="28"/>
                <w:lang w:eastAsia="ru-RU"/>
              </w:rPr>
              <w:t>Рыбинск</w:t>
            </w:r>
          </w:p>
        </w:tc>
      </w:tr>
    </w:tbl>
    <w:p w:rsidR="00E53688" w:rsidRDefault="00E53688">
      <w:pPr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AA69BB" w:rsidRPr="00AA69BB" w:rsidRDefault="00AA69BB">
      <w:pPr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BE7F41" w:rsidRPr="00AA69BB" w:rsidRDefault="00BE7F41" w:rsidP="000817C0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BE7F41" w:rsidRPr="00AA69BB" w:rsidRDefault="00BE7F41" w:rsidP="000817C0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BE7F41" w:rsidRPr="00AA69BB" w:rsidRDefault="00BE7F41" w:rsidP="000817C0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BE7F41" w:rsidRPr="00AA69BB" w:rsidRDefault="00BE7F41" w:rsidP="000817C0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BE7F41" w:rsidRPr="00AA69BB" w:rsidRDefault="00BE7F41" w:rsidP="000817C0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33655D" w:rsidRPr="00AA69BB" w:rsidRDefault="0033655D" w:rsidP="000817C0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0817C0" w:rsidRPr="00AA69BB" w:rsidRDefault="000817C0" w:rsidP="000817C0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AA69BB">
        <w:rPr>
          <w:rFonts w:ascii="Times New Roman" w:hAnsi="Times New Roman"/>
          <w:b/>
          <w:bCs/>
          <w:caps/>
          <w:sz w:val="28"/>
          <w:szCs w:val="28"/>
        </w:rPr>
        <w:lastRenderedPageBreak/>
        <w:t>Оценка степени достижения основных индикаторов</w:t>
      </w:r>
    </w:p>
    <w:p w:rsidR="000817C0" w:rsidRPr="00AA69BB" w:rsidRDefault="000817C0" w:rsidP="000817C0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AA69BB">
        <w:rPr>
          <w:rFonts w:ascii="Times New Roman" w:hAnsi="Times New Roman"/>
          <w:b/>
          <w:bCs/>
          <w:caps/>
          <w:sz w:val="28"/>
          <w:szCs w:val="28"/>
        </w:rPr>
        <w:t>ВЫПОЛНЕНИЯ СТРАТЕГИИ-2030 за 2021 год</w:t>
      </w:r>
    </w:p>
    <w:p w:rsidR="000817C0" w:rsidRPr="00AA69BB" w:rsidRDefault="000817C0" w:rsidP="000817C0">
      <w:pPr>
        <w:spacing w:after="0" w:line="240" w:lineRule="auto"/>
        <w:ind w:left="993" w:firstLine="708"/>
        <w:jc w:val="both"/>
        <w:rPr>
          <w:rFonts w:ascii="Times New Roman" w:hAnsi="Times New Roman"/>
          <w:sz w:val="28"/>
          <w:szCs w:val="28"/>
        </w:rPr>
      </w:pPr>
    </w:p>
    <w:p w:rsidR="0056185E" w:rsidRPr="00AA69BB" w:rsidRDefault="0056185E" w:rsidP="005618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A69BB">
        <w:rPr>
          <w:rFonts w:ascii="Times New Roman" w:hAnsi="Times New Roman"/>
          <w:sz w:val="28"/>
          <w:szCs w:val="28"/>
        </w:rPr>
        <w:t xml:space="preserve">Ежегодный мониторинг выполнения Стратегии-2030 проведен в рамках оценки степени достижения планируемых на 2022 год значений 20 индикаторов, напрямую влияющих на уровень и качество жизни населения города Рыбинска. </w:t>
      </w:r>
    </w:p>
    <w:p w:rsidR="0056185E" w:rsidRPr="00AA69BB" w:rsidRDefault="0056185E" w:rsidP="005618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A69BB">
        <w:rPr>
          <w:rFonts w:ascii="Times New Roman" w:hAnsi="Times New Roman"/>
          <w:sz w:val="28"/>
          <w:szCs w:val="28"/>
        </w:rPr>
        <w:t xml:space="preserve">В 2022 году по 30,0 % (6) индикаторов достигнуто выполнение плановых значений (в 2021 году по 20,0 % (4); в 2020 году по 30,0 % (6)); по 70,0 % (14) индикаторов не достигнуто выполнение плановых значений (в 2021 году по 80,0 % (16);  в 2020 году по 65,0 % (13), по 5,0 % (1) динамика отсутствовала). </w:t>
      </w:r>
    </w:p>
    <w:p w:rsidR="002E4A69" w:rsidRPr="00AA69BB" w:rsidRDefault="0056185E" w:rsidP="005618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hAnsi="Times New Roman"/>
          <w:sz w:val="28"/>
          <w:szCs w:val="28"/>
        </w:rPr>
        <w:t>В результате проведенной интегральной оценки</w:t>
      </w:r>
      <w:r w:rsidR="000240AD" w:rsidRPr="00AA69BB">
        <w:rPr>
          <w:rFonts w:ascii="Times New Roman" w:hAnsi="Times New Roman"/>
          <w:sz w:val="28"/>
          <w:szCs w:val="28"/>
        </w:rPr>
        <w:t xml:space="preserve"> (</w:t>
      </w:r>
      <w:r w:rsidR="000240AD" w:rsidRPr="00AA69BB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  <w:r w:rsidR="000240AD" w:rsidRPr="00AA69BB">
        <w:rPr>
          <w:rFonts w:ascii="Times New Roman" w:hAnsi="Times New Roman"/>
          <w:sz w:val="28"/>
          <w:szCs w:val="28"/>
        </w:rPr>
        <w:t>)</w:t>
      </w:r>
      <w:r w:rsidRPr="00AA69BB">
        <w:rPr>
          <w:rFonts w:ascii="Times New Roman" w:hAnsi="Times New Roman"/>
          <w:sz w:val="28"/>
          <w:szCs w:val="28"/>
        </w:rPr>
        <w:t xml:space="preserve"> средний уровень достижения планируемых значений 20 основных индикаторов за 2022 год составил 94,4 %, за 2021 год - 93,1 %; за 2020 год - 94,6 %. Качественная характеристика выполнения Стратегии-2030 по принятой шкале - высоко результативная.</w:t>
      </w:r>
    </w:p>
    <w:p w:rsidR="0000440B" w:rsidRPr="00AA69BB" w:rsidRDefault="0000440B" w:rsidP="000817C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69BB" w:rsidRDefault="00AA69BB" w:rsidP="00FF3DCB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РЕАЛИЗАЦИИ МУНИЦИПАЛЬНЫХ ПРОГРАММ ГОРОДСКОГО ОКРУГА ГОРОД РЫБИНСК ЯРОСЛАВСКОЙ ОБЛАСТИ </w:t>
      </w:r>
    </w:p>
    <w:p w:rsidR="003829B1" w:rsidRPr="00AA69BB" w:rsidRDefault="00AA69BB" w:rsidP="00FF3DCB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ЗА 2022 </w:t>
      </w:r>
      <w:r w:rsidRPr="00AA69B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</w:p>
    <w:p w:rsidR="00AB69EE" w:rsidRPr="00AA69BB" w:rsidRDefault="00AB69EE" w:rsidP="00FF3DCB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0E92" w:rsidRPr="00AA69BB" w:rsidRDefault="008E5675" w:rsidP="00390E92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</w:t>
      </w:r>
      <w:r w:rsidR="00580DF1" w:rsidRPr="00AA69B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36708" w:rsidRPr="00AA69B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185E" w:rsidRPr="00AA69B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53688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E53688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в городском округе город Рыбинск </w:t>
      </w:r>
      <w:r w:rsidR="00347878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области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осуществлялась реализация </w:t>
      </w:r>
      <w:r w:rsidR="0056185E" w:rsidRPr="00AA69BB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</w:t>
      </w:r>
      <w:r w:rsidR="001F1F33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7878" w:rsidRPr="00AA69BB">
        <w:rPr>
          <w:rFonts w:ascii="Times New Roman" w:eastAsia="Times New Roman" w:hAnsi="Times New Roman"/>
          <w:sz w:val="28"/>
          <w:szCs w:val="28"/>
          <w:lang w:eastAsia="ru-RU"/>
        </w:rPr>
        <w:t>программ (</w:t>
      </w:r>
      <w:r w:rsidR="0056185E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далее - </w:t>
      </w:r>
      <w:r w:rsidR="00347878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МП). </w:t>
      </w:r>
    </w:p>
    <w:p w:rsidR="00FF3DCB" w:rsidRPr="00AA69BB" w:rsidRDefault="00FF3DCB" w:rsidP="00390E92">
      <w:pPr>
        <w:spacing w:after="0" w:line="240" w:lineRule="auto"/>
        <w:ind w:right="-1"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AD4" w:rsidRPr="00AA69BB" w:rsidRDefault="008E5675" w:rsidP="00FF3DC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муниципальных программ осуществлялась по </w:t>
      </w:r>
      <w:r w:rsidRPr="00AA69B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 основным направлениям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F3DCB" w:rsidRPr="00AA69BB" w:rsidRDefault="00FF3DCB" w:rsidP="00FF3DCB">
      <w:pPr>
        <w:pStyle w:val="a6"/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образование, физическая культура и спорт, молодежная политика</w:t>
      </w:r>
      <w:r w:rsidR="00051E5D"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, здравоохранение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051E5D" w:rsidRPr="00AA69B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</w:t>
      </w:r>
      <w:r w:rsidR="00390676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(План </w:t>
      </w:r>
      <w:r w:rsidR="00DF5596" w:rsidRPr="00AA69BB">
        <w:rPr>
          <w:rFonts w:ascii="Times New Roman" w:eastAsia="Times New Roman" w:hAnsi="Times New Roman"/>
          <w:sz w:val="28"/>
          <w:szCs w:val="28"/>
          <w:lang w:eastAsia="ru-RU"/>
        </w:rPr>
        <w:t>3417,79</w:t>
      </w:r>
      <w:r w:rsidR="00390676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млн.руб. Факт </w:t>
      </w:r>
      <w:r w:rsidR="00DF5596" w:rsidRPr="00AA69BB">
        <w:rPr>
          <w:rFonts w:ascii="Times New Roman" w:eastAsia="Times New Roman" w:hAnsi="Times New Roman"/>
          <w:sz w:val="28"/>
          <w:szCs w:val="28"/>
          <w:lang w:eastAsia="ru-RU"/>
        </w:rPr>
        <w:t>3397,19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млн.руб.</w:t>
      </w:r>
      <w:r w:rsidR="00390676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DF5596" w:rsidRPr="00AA69BB">
        <w:rPr>
          <w:rFonts w:ascii="Times New Roman" w:eastAsia="Times New Roman" w:hAnsi="Times New Roman"/>
          <w:sz w:val="28"/>
          <w:szCs w:val="28"/>
          <w:lang w:eastAsia="ru-RU"/>
        </w:rPr>
        <w:t>исполнение 99,4</w:t>
      </w:r>
      <w:r w:rsidR="00390676" w:rsidRPr="00AA69BB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051E5D" w:rsidRPr="00AA69B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E5675" w:rsidRPr="00AA69BB" w:rsidRDefault="008E5675" w:rsidP="00FF3DCB">
      <w:pPr>
        <w:pStyle w:val="a6"/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социальная </w:t>
      </w:r>
      <w:r w:rsidR="003829B1"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поддержка</w:t>
      </w:r>
      <w:r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населения</w:t>
      </w:r>
      <w:r w:rsidR="00F56DB8"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4B68FE" w:rsidRPr="00AA69B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4B68FE" w:rsidRPr="00AA69B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(План </w:t>
      </w:r>
      <w:r w:rsidR="00DF5596" w:rsidRPr="00AA69BB">
        <w:rPr>
          <w:rFonts w:ascii="Times New Roman" w:eastAsia="Times New Roman" w:hAnsi="Times New Roman"/>
          <w:sz w:val="28"/>
          <w:szCs w:val="28"/>
          <w:lang w:eastAsia="ru-RU"/>
        </w:rPr>
        <w:t>1612,93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Факт </w:t>
      </w:r>
      <w:r w:rsidR="00DF5596" w:rsidRPr="00AA69BB">
        <w:rPr>
          <w:rFonts w:ascii="Times New Roman" w:eastAsia="Times New Roman" w:hAnsi="Times New Roman"/>
          <w:sz w:val="28"/>
          <w:szCs w:val="28"/>
          <w:lang w:eastAsia="ru-RU"/>
        </w:rPr>
        <w:t>1600,01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– </w:t>
      </w:r>
      <w:r w:rsidR="00DF5596" w:rsidRPr="00AA69BB">
        <w:rPr>
          <w:rFonts w:ascii="Times New Roman" w:eastAsia="Times New Roman" w:hAnsi="Times New Roman"/>
          <w:sz w:val="28"/>
          <w:szCs w:val="28"/>
          <w:lang w:eastAsia="ru-RU"/>
        </w:rPr>
        <w:t>исполнение 99,2</w:t>
      </w:r>
      <w:r w:rsidR="00B806DB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%);</w:t>
      </w:r>
    </w:p>
    <w:p w:rsidR="008E5675" w:rsidRPr="00AA69BB" w:rsidRDefault="008E5675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культура и туризм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050FBC" w:rsidRPr="00AA69B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050FBC" w:rsidRPr="00AA69B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(План </w:t>
      </w:r>
      <w:r w:rsidR="00DF5596" w:rsidRPr="00AA69BB">
        <w:rPr>
          <w:rFonts w:ascii="Times New Roman" w:eastAsia="Times New Roman" w:hAnsi="Times New Roman"/>
          <w:sz w:val="28"/>
          <w:szCs w:val="28"/>
          <w:lang w:eastAsia="ru-RU"/>
        </w:rPr>
        <w:t>321,24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Факт </w:t>
      </w:r>
      <w:r w:rsidR="00DF5596" w:rsidRPr="00AA69BB">
        <w:rPr>
          <w:rFonts w:ascii="Times New Roman" w:eastAsia="Times New Roman" w:hAnsi="Times New Roman"/>
          <w:sz w:val="28"/>
          <w:szCs w:val="28"/>
          <w:lang w:eastAsia="ru-RU"/>
        </w:rPr>
        <w:t>318,25</w:t>
      </w:r>
      <w:r w:rsidR="00B806DB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млн. руб. – </w:t>
      </w:r>
      <w:r w:rsidR="00DF5596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исполнение </w:t>
      </w:r>
      <w:r w:rsidR="00DB3F4F" w:rsidRPr="00AA69BB">
        <w:rPr>
          <w:rFonts w:ascii="Times New Roman" w:eastAsia="Times New Roman" w:hAnsi="Times New Roman"/>
          <w:sz w:val="28"/>
          <w:szCs w:val="28"/>
          <w:lang w:eastAsia="ru-RU"/>
        </w:rPr>
        <w:t>99,</w:t>
      </w:r>
      <w:r w:rsidR="00DF5596" w:rsidRPr="00AA69BB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%);</w:t>
      </w:r>
    </w:p>
    <w:p w:rsidR="008E5675" w:rsidRPr="00AA69BB" w:rsidRDefault="008E5675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жилищно-коммунальное хозяйство</w:t>
      </w:r>
      <w:r w:rsidR="004B68FE"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3829B1"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B68FE"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инфраструктура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DB3F4F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7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 (План </w:t>
      </w:r>
      <w:r w:rsidR="00DF5596" w:rsidRPr="00AA69BB">
        <w:rPr>
          <w:rFonts w:ascii="Times New Roman" w:eastAsia="Times New Roman" w:hAnsi="Times New Roman"/>
          <w:sz w:val="28"/>
          <w:szCs w:val="28"/>
          <w:lang w:eastAsia="ru-RU"/>
        </w:rPr>
        <w:t>2439,05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</w:t>
      </w:r>
      <w:r w:rsidR="000D0360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руб.; Факт </w:t>
      </w:r>
      <w:r w:rsidR="00DF5596" w:rsidRPr="00AA69BB">
        <w:rPr>
          <w:rFonts w:ascii="Times New Roman" w:eastAsia="Times New Roman" w:hAnsi="Times New Roman"/>
          <w:sz w:val="28"/>
          <w:szCs w:val="28"/>
          <w:lang w:eastAsia="ru-RU"/>
        </w:rPr>
        <w:t>2375,72</w:t>
      </w:r>
      <w:r w:rsidR="0080143B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млн. руб. – </w:t>
      </w:r>
      <w:r w:rsidR="00DF5596" w:rsidRPr="00AA69BB">
        <w:rPr>
          <w:rFonts w:ascii="Times New Roman" w:eastAsia="Times New Roman" w:hAnsi="Times New Roman"/>
          <w:sz w:val="28"/>
          <w:szCs w:val="28"/>
          <w:lang w:eastAsia="ru-RU"/>
        </w:rPr>
        <w:t>исполнение 97,4</w:t>
      </w:r>
      <w:r w:rsidR="00B806DB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%)</w:t>
      </w:r>
    </w:p>
    <w:p w:rsidR="004B68FE" w:rsidRPr="00AA69BB" w:rsidRDefault="008E5675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содействие экономическому развитию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050FBC" w:rsidRPr="00AA69B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4B68FE" w:rsidRPr="00AA69BB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4B68FE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 </w:t>
      </w:r>
      <w:r w:rsidR="00051E5D" w:rsidRPr="00AA69BB">
        <w:rPr>
          <w:rFonts w:ascii="Times New Roman" w:eastAsia="Times New Roman" w:hAnsi="Times New Roman"/>
          <w:sz w:val="28"/>
          <w:szCs w:val="28"/>
          <w:lang w:eastAsia="ru-RU"/>
        </w:rPr>
        <w:t>2,78</w:t>
      </w:r>
      <w:r w:rsidR="004B68FE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</w:t>
      </w:r>
      <w:r w:rsidR="00051E5D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68FE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руб.; Факт </w:t>
      </w:r>
      <w:r w:rsidR="00051E5D" w:rsidRPr="00AA69BB">
        <w:rPr>
          <w:rFonts w:ascii="Times New Roman" w:eastAsia="Times New Roman" w:hAnsi="Times New Roman"/>
          <w:sz w:val="28"/>
          <w:szCs w:val="28"/>
          <w:lang w:eastAsia="ru-RU"/>
        </w:rPr>
        <w:t>2,34</w:t>
      </w:r>
      <w:r w:rsidR="004B68FE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– </w:t>
      </w:r>
      <w:r w:rsidR="00051E5D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исполнение 83,8 </w:t>
      </w:r>
      <w:r w:rsidR="004B68FE" w:rsidRPr="00AA69BB">
        <w:rPr>
          <w:rFonts w:ascii="Times New Roman" w:eastAsia="Times New Roman" w:hAnsi="Times New Roman"/>
          <w:sz w:val="28"/>
          <w:szCs w:val="28"/>
          <w:lang w:eastAsia="ru-RU"/>
        </w:rPr>
        <w:t>%)</w:t>
      </w:r>
    </w:p>
    <w:p w:rsidR="008E5675" w:rsidRPr="00AA69BB" w:rsidRDefault="008E5675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обеспечение доступным и комфортным жильем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461A54" w:rsidRPr="00AA69B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461A54" w:rsidRPr="00AA69BB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(План </w:t>
      </w:r>
      <w:r w:rsidR="000D0360" w:rsidRPr="00AA69BB">
        <w:rPr>
          <w:rFonts w:ascii="Times New Roman" w:eastAsia="Times New Roman" w:hAnsi="Times New Roman"/>
          <w:sz w:val="28"/>
          <w:szCs w:val="28"/>
          <w:lang w:eastAsia="ru-RU"/>
        </w:rPr>
        <w:t>147,97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млн.руб. Факт </w:t>
      </w:r>
      <w:r w:rsidR="000D0360" w:rsidRPr="00AA69BB">
        <w:rPr>
          <w:rFonts w:ascii="Times New Roman" w:eastAsia="Times New Roman" w:hAnsi="Times New Roman"/>
          <w:sz w:val="28"/>
          <w:szCs w:val="28"/>
          <w:lang w:eastAsia="ru-RU"/>
        </w:rPr>
        <w:t>145,93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млн.руб. – </w:t>
      </w:r>
      <w:r w:rsidR="000D0360" w:rsidRPr="00AA69BB">
        <w:rPr>
          <w:rFonts w:ascii="Times New Roman" w:eastAsia="Times New Roman" w:hAnsi="Times New Roman"/>
          <w:sz w:val="28"/>
          <w:szCs w:val="28"/>
          <w:lang w:eastAsia="ru-RU"/>
        </w:rPr>
        <w:t>исполнение 98,62</w:t>
      </w:r>
      <w:r w:rsidR="00B806DB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%)</w:t>
      </w:r>
      <w:r w:rsidR="00461A54" w:rsidRPr="00AA69B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E5675" w:rsidRPr="00AA69BB" w:rsidRDefault="008E5675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безопасность жизнедеятельности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– 2 программы (План </w:t>
      </w:r>
      <w:r w:rsidR="000D0360" w:rsidRPr="00AA69BB">
        <w:rPr>
          <w:rFonts w:ascii="Times New Roman" w:eastAsia="Times New Roman" w:hAnsi="Times New Roman"/>
          <w:sz w:val="28"/>
          <w:szCs w:val="28"/>
          <w:lang w:eastAsia="ru-RU"/>
        </w:rPr>
        <w:t>20,33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млн.руб. Факт </w:t>
      </w:r>
      <w:r w:rsidR="000D0360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20,33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млн.руб. –</w:t>
      </w:r>
      <w:r w:rsidR="000D0360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 </w:t>
      </w:r>
      <w:r w:rsidR="00F642A2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100 </w:t>
      </w:r>
      <w:r w:rsidR="00390676" w:rsidRPr="00AA69BB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8E5675" w:rsidRPr="00AA69BB" w:rsidRDefault="00F3366D" w:rsidP="00FF3DCB">
      <w:pPr>
        <w:numPr>
          <w:ilvl w:val="3"/>
          <w:numId w:val="2"/>
        </w:numPr>
        <w:spacing w:after="0" w:line="240" w:lineRule="auto"/>
        <w:ind w:left="567" w:right="-1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организация </w:t>
      </w:r>
      <w:r w:rsidR="008E5675"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</w:t>
      </w:r>
      <w:r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го</w:t>
      </w:r>
      <w:r w:rsidR="008E5675"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управлени</w:t>
      </w:r>
      <w:r w:rsidR="00971CFA"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8E5675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F642A2" w:rsidRPr="00AA69B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E5675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F642A2" w:rsidRPr="00AA69BB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8E5675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(План </w:t>
      </w:r>
      <w:r w:rsidR="000D0360" w:rsidRPr="00AA69BB">
        <w:rPr>
          <w:rFonts w:ascii="Times New Roman" w:eastAsia="Times New Roman" w:hAnsi="Times New Roman"/>
          <w:sz w:val="28"/>
          <w:szCs w:val="28"/>
          <w:lang w:eastAsia="ru-RU"/>
        </w:rPr>
        <w:t>123,89</w:t>
      </w:r>
      <w:r w:rsidR="008E5675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млн.руб. Факт </w:t>
      </w:r>
      <w:r w:rsidR="000D0360" w:rsidRPr="00AA69BB">
        <w:rPr>
          <w:rFonts w:ascii="Times New Roman" w:eastAsia="Times New Roman" w:hAnsi="Times New Roman"/>
          <w:sz w:val="28"/>
          <w:szCs w:val="28"/>
          <w:lang w:eastAsia="ru-RU"/>
        </w:rPr>
        <w:t>122,92</w:t>
      </w:r>
      <w:r w:rsidR="008E5675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млн.руб. – </w:t>
      </w:r>
      <w:r w:rsidR="000D0360" w:rsidRPr="00AA69BB">
        <w:rPr>
          <w:rFonts w:ascii="Times New Roman" w:eastAsia="Times New Roman" w:hAnsi="Times New Roman"/>
          <w:sz w:val="28"/>
          <w:szCs w:val="28"/>
          <w:lang w:eastAsia="ru-RU"/>
        </w:rPr>
        <w:t>исполнение 99,21</w:t>
      </w:r>
      <w:r w:rsidR="008E5675" w:rsidRPr="00AA69BB">
        <w:rPr>
          <w:rFonts w:ascii="Times New Roman" w:eastAsia="Times New Roman" w:hAnsi="Times New Roman"/>
          <w:sz w:val="28"/>
          <w:szCs w:val="28"/>
          <w:lang w:eastAsia="ru-RU"/>
        </w:rPr>
        <w:t>%).</w:t>
      </w:r>
    </w:p>
    <w:p w:rsidR="001C1D75" w:rsidRPr="00AA69BB" w:rsidRDefault="0056185E" w:rsidP="001C1D75">
      <w:pPr>
        <w:spacing w:after="0" w:line="240" w:lineRule="auto"/>
        <w:ind w:left="567"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294842" cy="5093758"/>
            <wp:effectExtent l="19050" t="0" r="1058" b="0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641E2" w:rsidRPr="00AA69BB" w:rsidRDefault="00F641E2" w:rsidP="00F641E2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Общая сумма затрат на реализацию 2</w:t>
      </w:r>
      <w:r w:rsidR="00F06435" w:rsidRPr="00AA69B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 в 20</w:t>
      </w:r>
      <w:r w:rsidR="00F06435" w:rsidRPr="00AA69BB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Pr="00AA69B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по данным департаментов-исполнителей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составила </w:t>
      </w:r>
      <w:r w:rsidR="00F06435"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798</w:t>
      </w:r>
      <w:r w:rsidR="003D43CC"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F06435"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3D43CC"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60</w:t>
      </w:r>
      <w:r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млн.руб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., в т.ч. </w:t>
      </w:r>
    </w:p>
    <w:p w:rsidR="00F641E2" w:rsidRPr="00AA69BB" w:rsidRDefault="00F641E2" w:rsidP="00F641E2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средства городского бюджета – </w:t>
      </w:r>
      <w:r w:rsidR="00F06435" w:rsidRPr="00AA69BB">
        <w:rPr>
          <w:rFonts w:ascii="Times New Roman" w:eastAsia="Times New Roman" w:hAnsi="Times New Roman"/>
          <w:sz w:val="28"/>
          <w:szCs w:val="28"/>
          <w:lang w:eastAsia="ru-RU"/>
        </w:rPr>
        <w:t>2070,79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млн.руб., </w:t>
      </w:r>
    </w:p>
    <w:p w:rsidR="00F641E2" w:rsidRPr="00AA69BB" w:rsidRDefault="00F641E2" w:rsidP="00F641E2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средства областного бюджета – </w:t>
      </w:r>
      <w:r w:rsidR="00F06435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3822,99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млн.руб., </w:t>
      </w:r>
    </w:p>
    <w:p w:rsidR="00F641E2" w:rsidRPr="00AA69BB" w:rsidRDefault="00F641E2" w:rsidP="00F641E2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средства федерального бюджета – </w:t>
      </w:r>
      <w:r w:rsidR="00F06435" w:rsidRPr="00AA69BB">
        <w:rPr>
          <w:rFonts w:ascii="Times New Roman" w:eastAsia="Times New Roman" w:hAnsi="Times New Roman"/>
          <w:sz w:val="28"/>
          <w:szCs w:val="28"/>
          <w:lang w:eastAsia="ru-RU"/>
        </w:rPr>
        <w:t>1986,67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млн.руб., </w:t>
      </w:r>
    </w:p>
    <w:p w:rsidR="00D16E22" w:rsidRDefault="00F641E2" w:rsidP="00F641E2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другие источники </w:t>
      </w:r>
      <w:r w:rsidR="00F06435" w:rsidRPr="00AA69BB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3D43CC" w:rsidRPr="00AA69B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06435" w:rsidRPr="00AA69BB">
        <w:rPr>
          <w:rFonts w:ascii="Times New Roman" w:eastAsia="Times New Roman" w:hAnsi="Times New Roman"/>
          <w:sz w:val="28"/>
          <w:szCs w:val="28"/>
          <w:lang w:eastAsia="ru-RU"/>
        </w:rPr>
        <w:t>,1</w:t>
      </w:r>
      <w:r w:rsidR="003D43CC" w:rsidRPr="00AA69B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руб. </w:t>
      </w:r>
    </w:p>
    <w:p w:rsidR="008163D4" w:rsidRPr="00AA69BB" w:rsidRDefault="008163D4" w:rsidP="00F641E2">
      <w:pPr>
        <w:pStyle w:val="a6"/>
        <w:tabs>
          <w:tab w:val="left" w:pos="-6096"/>
          <w:tab w:val="left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572125" cy="2552700"/>
            <wp:effectExtent l="19050" t="0" r="0" b="0"/>
            <wp:docPr id="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641E2" w:rsidRPr="00AA69BB" w:rsidRDefault="00F06435" w:rsidP="00F06435">
      <w:pPr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Детальный отчет о выполненных мероприятиях, их количественных характеристиках, стоимости и источниках финансирования всех МП приведен в Приложении 2.</w:t>
      </w:r>
    </w:p>
    <w:p w:rsidR="00FB3AED" w:rsidRPr="00AA69BB" w:rsidRDefault="005968BF" w:rsidP="005968BF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В 20</w:t>
      </w:r>
      <w:r w:rsidR="00B71B80" w:rsidRPr="00AA69B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32503" w:rsidRPr="00AA69B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61761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62BC" w:rsidRPr="00AA69BB">
        <w:rPr>
          <w:rFonts w:ascii="Times New Roman" w:eastAsia="Times New Roman" w:hAnsi="Times New Roman"/>
          <w:sz w:val="28"/>
          <w:szCs w:val="28"/>
          <w:lang w:eastAsia="ru-RU"/>
        </w:rPr>
        <w:t>году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</w:t>
      </w:r>
      <w:r w:rsidR="008F319B" w:rsidRPr="00AA69BB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программ, осуществлялось</w:t>
      </w:r>
      <w:r w:rsidR="00761761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софинансирование из областного,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федерального бюджетов</w:t>
      </w:r>
      <w:r w:rsidR="00761761" w:rsidRPr="00AA69BB">
        <w:rPr>
          <w:rFonts w:ascii="Times New Roman" w:eastAsia="Times New Roman" w:hAnsi="Times New Roman"/>
          <w:sz w:val="28"/>
          <w:szCs w:val="28"/>
          <w:lang w:eastAsia="ru-RU"/>
        </w:rPr>
        <w:t>, а также внебюджетных источников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8A79DD" w:rsidRPr="00C21121" w:rsidRDefault="005968BF" w:rsidP="003D43CC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211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211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Общая </w:t>
      </w:r>
      <w:r w:rsidR="003D43CC" w:rsidRPr="00C211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плановая </w:t>
      </w:r>
      <w:r w:rsidRPr="00C21121">
        <w:rPr>
          <w:rFonts w:ascii="Times New Roman" w:eastAsia="Times New Roman" w:hAnsi="Times New Roman"/>
          <w:b/>
          <w:sz w:val="28"/>
          <w:szCs w:val="28"/>
          <w:lang w:eastAsia="ru-RU"/>
        </w:rPr>
        <w:t>сумма</w:t>
      </w:r>
      <w:r w:rsidR="00FB3AED" w:rsidRPr="00C211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всем программам в целом по привлечению </w:t>
      </w:r>
      <w:r w:rsidRPr="00C211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средств из вышестоящих бюджетов и внебюджетных источников составила </w:t>
      </w:r>
      <w:r w:rsidR="003D43CC" w:rsidRPr="00C211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8 091,02 </w:t>
      </w:r>
      <w:r w:rsidRPr="00C21121">
        <w:rPr>
          <w:rFonts w:ascii="Times New Roman" w:eastAsia="Times New Roman" w:hAnsi="Times New Roman"/>
          <w:b/>
          <w:sz w:val="28"/>
          <w:szCs w:val="28"/>
          <w:lang w:eastAsia="ru-RU"/>
        </w:rPr>
        <w:t>млн. руб</w:t>
      </w:r>
      <w:r w:rsidR="00761761" w:rsidRPr="00C2112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tbl>
      <w:tblPr>
        <w:tblW w:w="10182" w:type="dxa"/>
        <w:tblInd w:w="89" w:type="dxa"/>
        <w:tblLayout w:type="fixed"/>
        <w:tblLook w:val="04A0"/>
      </w:tblPr>
      <w:tblGrid>
        <w:gridCol w:w="586"/>
        <w:gridCol w:w="134"/>
        <w:gridCol w:w="4969"/>
        <w:gridCol w:w="142"/>
        <w:gridCol w:w="992"/>
        <w:gridCol w:w="142"/>
        <w:gridCol w:w="992"/>
        <w:gridCol w:w="1134"/>
        <w:gridCol w:w="1091"/>
      </w:tblGrid>
      <w:tr w:rsidR="00B14C92" w:rsidRPr="00AA69BB" w:rsidTr="003F554A">
        <w:trPr>
          <w:trHeight w:val="20"/>
        </w:trPr>
        <w:tc>
          <w:tcPr>
            <w:tcW w:w="72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92" w:rsidRPr="00AA69BB" w:rsidRDefault="00B14C92" w:rsidP="001264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" w:name="RANGE!A1:F19"/>
            <w:bookmarkEnd w:id="1"/>
          </w:p>
        </w:tc>
        <w:tc>
          <w:tcPr>
            <w:tcW w:w="5111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92" w:rsidRPr="00AA69BB" w:rsidRDefault="00B14C92" w:rsidP="001264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92" w:rsidRPr="00AA69BB" w:rsidRDefault="00B14C92" w:rsidP="001264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92" w:rsidRPr="00AA69BB" w:rsidRDefault="00B14C92" w:rsidP="001264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92" w:rsidRPr="00AA69BB" w:rsidRDefault="00B14C92" w:rsidP="004B47D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Таблица</w:t>
            </w:r>
          </w:p>
        </w:tc>
      </w:tr>
      <w:tr w:rsidR="00B14C92" w:rsidRPr="00AA69BB" w:rsidTr="003F554A">
        <w:trPr>
          <w:trHeight w:val="20"/>
        </w:trPr>
        <w:tc>
          <w:tcPr>
            <w:tcW w:w="10182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B14C92" w:rsidRDefault="00B14C92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Перечень программ, </w:t>
            </w:r>
            <w:r w:rsidR="00311ABB" w:rsidRPr="00AA69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реализация</w:t>
            </w:r>
            <w:r w:rsidRPr="00AA69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которых осуществля</w:t>
            </w:r>
            <w:r w:rsidR="00367DDC" w:rsidRPr="00AA69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="00311ABB" w:rsidRPr="00AA69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="00367DDC" w:rsidRPr="00AA69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сь</w:t>
            </w:r>
            <w:r w:rsidRPr="00AA69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67DDC" w:rsidRPr="00AA69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</w:t>
            </w:r>
            <w:r w:rsidRPr="00AA69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софинансировани</w:t>
            </w:r>
            <w:r w:rsidR="00367DDC" w:rsidRPr="00AA69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AA69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средств вышестоящих бюджетов</w:t>
            </w:r>
            <w:r w:rsidR="00367DDC" w:rsidRPr="00AA69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других источников </w:t>
            </w:r>
            <w:r w:rsidRPr="00AA69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(по данным департаментов</w:t>
            </w:r>
            <w:r w:rsidR="00367DDC" w:rsidRPr="00AA69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-исполнителей</w:t>
            </w:r>
            <w:r w:rsidRPr="00AA69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="00311ABB" w:rsidRPr="00AA69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 млн.</w:t>
            </w:r>
            <w:r w:rsidR="008F319B" w:rsidRPr="00AA69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11ABB" w:rsidRPr="00AA69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руб.</w:t>
            </w:r>
          </w:p>
          <w:p w:rsidR="00C21121" w:rsidRPr="00AA69BB" w:rsidRDefault="00C21121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14C92" w:rsidRPr="00AA69BB" w:rsidTr="003F554A">
        <w:trPr>
          <w:trHeight w:val="20"/>
        </w:trPr>
        <w:tc>
          <w:tcPr>
            <w:tcW w:w="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AA69BB" w:rsidRDefault="00B14C92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10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AA69BB" w:rsidRDefault="00B14C92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  <w:r w:rsidR="002406F0"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449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14C92" w:rsidRDefault="004B47D3" w:rsidP="004B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ассигнования</w:t>
            </w:r>
            <w:r w:rsidR="00B14C92"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средств</w:t>
            </w: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71B80"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202</w:t>
            </w:r>
            <w:r w:rsidR="00517ABA"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6362BC"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14C92"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г.</w:t>
            </w:r>
            <w:r w:rsidR="00697AF1"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млн. руб.</w:t>
            </w:r>
          </w:p>
          <w:p w:rsidR="00C21121" w:rsidRPr="00AA69BB" w:rsidRDefault="00C21121" w:rsidP="004B4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14C92" w:rsidRPr="00AA69BB" w:rsidTr="003F554A">
        <w:trPr>
          <w:trHeight w:val="20"/>
        </w:trPr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14C92" w:rsidRPr="00AA69BB" w:rsidRDefault="00B14C92" w:rsidP="001264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14C92" w:rsidRPr="00AA69BB" w:rsidRDefault="00B14C92" w:rsidP="001264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AA69BB" w:rsidRDefault="00B14C92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ГБ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AA69BB" w:rsidRDefault="00AE7F92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C92" w:rsidRPr="00AA69BB" w:rsidRDefault="00AE7F92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C92" w:rsidRPr="00AA69BB" w:rsidRDefault="00B14C92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Др. </w:t>
            </w:r>
          </w:p>
          <w:p w:rsidR="00B14C92" w:rsidRPr="00AA69BB" w:rsidRDefault="00B14C92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ср-ва</w:t>
            </w:r>
          </w:p>
        </w:tc>
      </w:tr>
      <w:tr w:rsidR="003F554A" w:rsidRPr="00AA69BB" w:rsidTr="001264E7">
        <w:trPr>
          <w:trHeight w:val="477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3F554A" w:rsidP="001264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"Развитие муниципальной системы образования в городском округе город Рыбинск Ярославской области"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743,69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2130,43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169,46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F554A" w:rsidRPr="00AA69BB" w:rsidTr="00A42B70">
        <w:trPr>
          <w:trHeight w:val="878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A4341D" w:rsidP="001264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"Развитие физической культуры и спорта в городском округе город Рыбинск Ярославской области"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258,24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5,80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5,21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F554A" w:rsidRPr="00AA69BB" w:rsidTr="00A42B70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A4341D" w:rsidP="001264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молодежной политики в городском округе город Рыбинск Ярославской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25,17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31,29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48,46</w:t>
            </w:r>
          </w:p>
        </w:tc>
      </w:tr>
      <w:tr w:rsidR="003F554A" w:rsidRPr="00AA69BB" w:rsidTr="00A42B70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A4341D" w:rsidP="001264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населения городского округа город Рыбинск Ярославской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15,03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910,59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687,32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F554A" w:rsidRPr="00AA69BB" w:rsidTr="00A42B70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A4341D" w:rsidP="001264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Развитие культуры и туризма в городском округе город Рыбинск Ярославской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225,59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84,88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10,40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E06DE6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5,38</w:t>
            </w:r>
          </w:p>
        </w:tc>
      </w:tr>
      <w:tr w:rsidR="003F554A" w:rsidRPr="00AA69BB" w:rsidTr="00A42B70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A4341D" w:rsidP="001264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Развитие дорожного хозяйства городского округа город Рыбинск Ярославской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246,23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346,37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800,00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F554A" w:rsidRPr="00AA69BB" w:rsidTr="00A42B70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A4341D" w:rsidP="001264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современной городской среды на территории городского округа город Рыбинск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9,72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249,66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67,59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0,65</w:t>
            </w:r>
          </w:p>
        </w:tc>
      </w:tr>
      <w:tr w:rsidR="003F554A" w:rsidRPr="00AA69BB" w:rsidTr="003F554A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A4341D" w:rsidP="001264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водохозяйственного комплекса городского округа город Рыбинск Ярославской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44,56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91,47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247,29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F554A" w:rsidRPr="00AA69BB" w:rsidTr="00A42B70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A4341D" w:rsidP="001264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Увековечение памяти погибших при защите Отечества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0,52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0,08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F554A" w:rsidRPr="00AA69BB" w:rsidTr="00A42B70">
        <w:trPr>
          <w:trHeight w:val="20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A4341D" w:rsidP="001264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и озеленение территории городского округа город Рыбинск Ярославской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187,01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4,03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F554A" w:rsidRPr="00AA69BB" w:rsidTr="00A42B70">
        <w:trPr>
          <w:trHeight w:val="7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A4341D" w:rsidP="001264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Энергоэффективность в городском округе город Рыбинск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70,35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72,92</w:t>
            </w:r>
          </w:p>
        </w:tc>
      </w:tr>
      <w:tr w:rsidR="003F554A" w:rsidRPr="00AA69BB" w:rsidTr="00A42B70">
        <w:trPr>
          <w:trHeight w:val="7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A4341D" w:rsidP="001264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доступным и комфортным жильем населения городского округа город Рыбинск Ярославской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120,47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9,48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0,66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F554A" w:rsidRPr="00AA69BB" w:rsidTr="00A42B70">
        <w:trPr>
          <w:trHeight w:val="7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A4341D" w:rsidP="001264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Переселение граждан из аварийного жилищного фонда в городском округе город Рыбинск Ярославской области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2,91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0,49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13,95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F554A" w:rsidRPr="00AA69BB" w:rsidTr="00A42B70">
        <w:trPr>
          <w:trHeight w:val="7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7E48AB" w:rsidP="001264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городского округа город Рыбинск Ярославской области от чрезвычайных ситуаций, обеспечение безопасности на водных объектах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20,11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0,07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F554A" w:rsidRPr="00AA69BB" w:rsidTr="00A42B70">
        <w:trPr>
          <w:trHeight w:val="7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7E48AB" w:rsidP="001264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эффективности деятельности органов местного самоуправления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47,94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0,18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F554A" w:rsidRPr="00AA69BB" w:rsidTr="00A42B70">
        <w:trPr>
          <w:trHeight w:val="75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7E48AB" w:rsidP="001264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Гражданское общество и открытая власть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7,72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2,42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F554A" w:rsidRPr="00AA69BB" w:rsidTr="00A42B70">
        <w:trPr>
          <w:trHeight w:val="609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A69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54A" w:rsidRPr="00AA69BB" w:rsidRDefault="007E48AB" w:rsidP="001264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Создание условий для эффективного использования муниципального имущества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23,50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8,37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554A" w:rsidRPr="00AA69BB" w:rsidRDefault="003F554A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430AB" w:rsidRPr="00AA69BB" w:rsidTr="00A42B70">
        <w:trPr>
          <w:trHeight w:val="609"/>
        </w:trPr>
        <w:tc>
          <w:tcPr>
            <w:tcW w:w="56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AB" w:rsidRPr="00AA69BB" w:rsidRDefault="00D430AB" w:rsidP="001264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Итого: 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AB" w:rsidRPr="00AA69BB" w:rsidRDefault="009727CF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2048,77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AB" w:rsidRPr="00AA69BB" w:rsidRDefault="009727CF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3875,56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0AB" w:rsidRPr="00AA69BB" w:rsidRDefault="009727CF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2001,97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0AB" w:rsidRPr="00AA69BB" w:rsidRDefault="009727CF" w:rsidP="00126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="00E06DE6"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AA69BB">
              <w:rPr>
                <w:rFonts w:ascii="Times New Roman" w:hAnsi="Times New Roman"/>
                <w:color w:val="000000"/>
                <w:sz w:val="28"/>
                <w:szCs w:val="28"/>
              </w:rPr>
              <w:t>,41</w:t>
            </w:r>
          </w:p>
        </w:tc>
      </w:tr>
    </w:tbl>
    <w:p w:rsidR="00A42B70" w:rsidRPr="00AA69BB" w:rsidRDefault="00A42B70" w:rsidP="008E567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5675" w:rsidRPr="00AA69BB" w:rsidRDefault="008E5675" w:rsidP="008E5675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20</w:t>
      </w:r>
      <w:r w:rsidR="009616B2" w:rsidRPr="00AA69B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B47D3" w:rsidRPr="00AA69B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коэффициент привлечения средств вышестоящих бюджетов, а также внебюджетных источников на реализацию всех </w:t>
      </w:r>
      <w:r w:rsidR="002406F0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МП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 </w:t>
      </w:r>
      <w:r w:rsidR="000D5895"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2,</w:t>
      </w:r>
      <w:r w:rsidR="00CB4E13"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E06DE6"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1155AC" w:rsidRPr="00AA69B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1E4DBD" w:rsidRPr="00AA69BB" w:rsidRDefault="001E4DBD" w:rsidP="001E4D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296025" cy="2867025"/>
            <wp:effectExtent l="0" t="0" r="0" b="0"/>
            <wp:docPr id="6" name="Объект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763BD" w:rsidRPr="00AA69BB" w:rsidRDefault="000763BD" w:rsidP="001E4DBD">
      <w:pPr>
        <w:spacing w:after="0" w:line="240" w:lineRule="auto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90E92" w:rsidRPr="00AA69BB" w:rsidRDefault="008E5675" w:rsidP="003F6BD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</w:t>
      </w:r>
      <w:r w:rsidR="002406F0" w:rsidRPr="00AA69BB">
        <w:rPr>
          <w:rFonts w:ascii="Times New Roman" w:eastAsia="Times New Roman" w:hAnsi="Times New Roman"/>
          <w:sz w:val="28"/>
          <w:szCs w:val="28"/>
          <w:lang w:eastAsia="ru-RU"/>
        </w:rPr>
        <w:t>объемы софинансирования из вышестоящих бюджетов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в 20</w:t>
      </w:r>
      <w:r w:rsidR="00EC5727" w:rsidRPr="00AA69B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42B70" w:rsidRPr="00AA69B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97B5C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году были получены</w:t>
      </w:r>
      <w:r w:rsidR="00B14C92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по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4C92" w:rsidRPr="00AA69BB">
        <w:rPr>
          <w:rFonts w:ascii="Times New Roman" w:eastAsia="Times New Roman" w:hAnsi="Times New Roman"/>
          <w:sz w:val="28"/>
          <w:szCs w:val="28"/>
          <w:lang w:eastAsia="ru-RU"/>
        </w:rPr>
        <w:t>МП «</w:t>
      </w:r>
      <w:r w:rsidR="00EC5727" w:rsidRPr="00AA69BB">
        <w:rPr>
          <w:rFonts w:ascii="Times New Roman" w:eastAsia="Times New Roman" w:hAnsi="Times New Roman"/>
          <w:sz w:val="28"/>
          <w:szCs w:val="28"/>
          <w:lang w:eastAsia="ru-RU"/>
        </w:rPr>
        <w:t>Развитие муниципальной системы образования в городском округе город Рыбинск Ярославской области</w:t>
      </w:r>
      <w:r w:rsidR="00B14C92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="00EC5727" w:rsidRPr="00AA69BB">
        <w:rPr>
          <w:rFonts w:ascii="Times New Roman" w:eastAsia="Times New Roman" w:hAnsi="Times New Roman"/>
          <w:sz w:val="28"/>
          <w:szCs w:val="28"/>
          <w:lang w:eastAsia="ru-RU"/>
        </w:rPr>
        <w:t>МП</w:t>
      </w:r>
      <w:r w:rsidR="00B14C92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«Социальная поддержка населения г</w:t>
      </w:r>
      <w:r w:rsidR="00543DB7" w:rsidRPr="00AA69BB">
        <w:rPr>
          <w:rFonts w:ascii="Times New Roman" w:eastAsia="Times New Roman" w:hAnsi="Times New Roman"/>
          <w:sz w:val="28"/>
          <w:szCs w:val="28"/>
          <w:lang w:eastAsia="ru-RU"/>
        </w:rPr>
        <w:t>ородского округа город Рыбинск</w:t>
      </w:r>
      <w:r w:rsidR="005A61EA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Ярославской области</w:t>
      </w:r>
      <w:r w:rsidR="00543DB7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="00797B5C" w:rsidRPr="00AA69BB">
        <w:rPr>
          <w:rFonts w:ascii="Times New Roman" w:eastAsia="Times New Roman" w:hAnsi="Times New Roman"/>
          <w:sz w:val="28"/>
          <w:szCs w:val="28"/>
          <w:lang w:eastAsia="ru-RU"/>
        </w:rPr>
        <w:t>МП «Развитие дорожного хозяйства городского округа гор</w:t>
      </w:r>
      <w:r w:rsidR="00ED77FF" w:rsidRPr="00AA69BB">
        <w:rPr>
          <w:rFonts w:ascii="Times New Roman" w:eastAsia="Times New Roman" w:hAnsi="Times New Roman"/>
          <w:sz w:val="28"/>
          <w:szCs w:val="28"/>
          <w:lang w:eastAsia="ru-RU"/>
        </w:rPr>
        <w:t>од Рыбинск Ярославской области»</w:t>
      </w:r>
      <w:r w:rsidR="00A42B70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, «Формирование </w:t>
      </w:r>
      <w:r w:rsidR="003F6BD3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современной городской среды </w:t>
      </w:r>
      <w:r w:rsidR="003F6BD3" w:rsidRPr="00AA69BB">
        <w:rPr>
          <w:rFonts w:ascii="Times New Roman" w:hAnsi="Times New Roman"/>
          <w:color w:val="000000"/>
          <w:sz w:val="28"/>
          <w:szCs w:val="28"/>
        </w:rPr>
        <w:t xml:space="preserve">на территории городского округа город Рыбинск». </w:t>
      </w:r>
    </w:p>
    <w:p w:rsidR="00CB79B5" w:rsidRPr="00AA69BB" w:rsidRDefault="00CB79B5" w:rsidP="00ED77F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90E92" w:rsidRPr="00AA69BB" w:rsidRDefault="008E5675" w:rsidP="00390E9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Оценка результативности и эффективности программ</w:t>
      </w:r>
    </w:p>
    <w:p w:rsidR="008E5675" w:rsidRPr="00AA69BB" w:rsidRDefault="008E5675" w:rsidP="006217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оценки эффективности использования расходуемых бюджетных средств на </w:t>
      </w:r>
      <w:r w:rsidRPr="00AA69B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реализацию программ, действовавших в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797B5C" w:rsidRPr="00AA69B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F6BD3" w:rsidRPr="00AA69B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году, проведен мониторинг </w:t>
      </w:r>
      <w:r w:rsidR="00621753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эффективности и результативности муниципальных программ. </w:t>
      </w:r>
    </w:p>
    <w:p w:rsidR="002406F0" w:rsidRPr="00AA69BB" w:rsidRDefault="00621753" w:rsidP="008E5675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Оценка эффективности и результативности реализации МП </w:t>
      </w:r>
      <w:r w:rsidR="008E5675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представлена в Приложении </w:t>
      </w:r>
      <w:r w:rsidR="00D76919" w:rsidRPr="00AA69B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E5675" w:rsidRPr="00AA69B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E5675" w:rsidRPr="00AA69BB" w:rsidRDefault="008E5675" w:rsidP="008E5675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проведения анализа оценки эффективности </w:t>
      </w:r>
      <w:r w:rsidR="007006DE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реализации МП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признаны:</w:t>
      </w:r>
    </w:p>
    <w:p w:rsidR="00971BCD" w:rsidRPr="00AA69BB" w:rsidRDefault="008E5675" w:rsidP="008E567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</w:t>
      </w:r>
      <w:r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Высокоэффективными - </w:t>
      </w:r>
      <w:r w:rsidR="006E7F27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621753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программ;</w:t>
      </w:r>
    </w:p>
    <w:p w:rsidR="008E5675" w:rsidRPr="00AA69BB" w:rsidRDefault="00971BCD" w:rsidP="008E567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</w:t>
      </w:r>
      <w:r w:rsidR="008E5675" w:rsidRPr="00AA69B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</w:t>
      </w:r>
      <w:r w:rsidR="008E5675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F973E5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Среднеэффективными </w:t>
      </w:r>
      <w:r w:rsidR="008E5675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6E7F27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8E5675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программы</w:t>
      </w:r>
      <w:r w:rsidR="00621753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971BCD" w:rsidRPr="00AA69BB" w:rsidRDefault="008E5675" w:rsidP="008E567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III</w:t>
      </w:r>
      <w:r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Низкоэффективн</w:t>
      </w:r>
      <w:r w:rsidR="002406F0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ыми</w:t>
      </w:r>
      <w:r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</w:t>
      </w:r>
      <w:r w:rsidR="00A10395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E7F27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</w:t>
      </w:r>
      <w:r w:rsidR="00D76919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программ</w:t>
      </w:r>
      <w:r w:rsidR="00621753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971BCD" w:rsidRPr="00AA69BB" w:rsidRDefault="008E5675" w:rsidP="008E567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IV</w:t>
      </w:r>
      <w:r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CB4E13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Неэффективными</w:t>
      </w:r>
      <w:r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</w:t>
      </w:r>
      <w:r w:rsidR="009020BC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 программ</w:t>
      </w:r>
      <w:r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3E10CB" w:rsidRPr="00AA69BB" w:rsidRDefault="00D434F9" w:rsidP="008E567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достаточно высокого уровня </w:t>
      </w:r>
      <w:r w:rsidR="00185828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фактического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финансирования </w:t>
      </w:r>
      <w:r w:rsidR="00F973E5" w:rsidRPr="00AA69BB">
        <w:rPr>
          <w:rFonts w:ascii="Times New Roman" w:eastAsia="Times New Roman" w:hAnsi="Times New Roman"/>
          <w:sz w:val="28"/>
          <w:szCs w:val="28"/>
          <w:lang w:eastAsia="ru-RU"/>
        </w:rPr>
        <w:t>по сравнению с плановым</w:t>
      </w:r>
      <w:r w:rsidR="00A10395" w:rsidRPr="00AA69BB">
        <w:rPr>
          <w:rFonts w:ascii="Times New Roman" w:eastAsia="Times New Roman" w:hAnsi="Times New Roman"/>
          <w:sz w:val="28"/>
          <w:szCs w:val="28"/>
          <w:lang w:eastAsia="ru-RU"/>
        </w:rPr>
        <w:t>и ассигнованиями</w:t>
      </w:r>
      <w:r w:rsidR="00F973E5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3F6BD3" w:rsidRPr="00AA69BB">
        <w:rPr>
          <w:rFonts w:ascii="Times New Roman" w:eastAsia="Times New Roman" w:hAnsi="Times New Roman"/>
          <w:sz w:val="28"/>
          <w:szCs w:val="28"/>
          <w:lang w:eastAsia="ru-RU"/>
        </w:rPr>
        <w:t>98,7</w:t>
      </w:r>
      <w:r w:rsidR="000240AD" w:rsidRPr="00AA69BB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185828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971BCD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3F6BD3" w:rsidRPr="00AA69B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73512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5675" w:rsidRPr="00AA69BB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473512" w:rsidRPr="00AA69BB">
        <w:rPr>
          <w:rFonts w:ascii="Times New Roman" w:eastAsia="Times New Roman" w:hAnsi="Times New Roman"/>
          <w:sz w:val="28"/>
          <w:szCs w:val="28"/>
          <w:lang w:eastAsia="ru-RU"/>
        </w:rPr>
        <w:t>оду</w:t>
      </w:r>
      <w:r w:rsidR="008E5675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3512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среднее значение исполнения индикаторов программ составило </w:t>
      </w:r>
      <w:r w:rsidR="006E7F27" w:rsidRPr="00AA69BB">
        <w:rPr>
          <w:rFonts w:ascii="Times New Roman" w:eastAsia="Times New Roman" w:hAnsi="Times New Roman"/>
          <w:sz w:val="28"/>
          <w:szCs w:val="28"/>
          <w:lang w:eastAsia="ru-RU"/>
        </w:rPr>
        <w:t>98,31</w:t>
      </w:r>
      <w:r w:rsidR="00971BCD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%.</w:t>
      </w:r>
      <w:r w:rsidR="00EC35F0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(в 202</w:t>
      </w:r>
      <w:r w:rsidR="003F6BD3" w:rsidRPr="00AA69B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C35F0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3F6BD3" w:rsidRPr="00AA69BB">
        <w:rPr>
          <w:rFonts w:ascii="Times New Roman" w:eastAsia="Times New Roman" w:hAnsi="Times New Roman"/>
          <w:sz w:val="28"/>
          <w:szCs w:val="28"/>
          <w:lang w:eastAsia="ru-RU"/>
        </w:rPr>
        <w:t>96,36</w:t>
      </w:r>
      <w:r w:rsidR="00EC35F0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%). </w:t>
      </w:r>
    </w:p>
    <w:p w:rsidR="008E5675" w:rsidRPr="00AA69BB" w:rsidRDefault="00976193" w:rsidP="008E5675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Степень достижения всех индикаторов по каждой программе представлена в Приложении </w:t>
      </w:r>
      <w:r w:rsidR="00EC35F0" w:rsidRPr="00AA69B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02946" w:rsidRDefault="00902946" w:rsidP="008E5675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E5675" w:rsidRPr="00AA69BB" w:rsidRDefault="008E5675" w:rsidP="008E5675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Выводы и предложения по результатам анализа реализации программ:</w:t>
      </w:r>
    </w:p>
    <w:p w:rsidR="008E5675" w:rsidRPr="00AA69BB" w:rsidRDefault="008E5675" w:rsidP="008E5675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Общие выводы и предложения:</w:t>
      </w:r>
    </w:p>
    <w:p w:rsidR="008E5675" w:rsidRPr="00AA69BB" w:rsidRDefault="000240AD" w:rsidP="008E567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8E5675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B93F5F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Коэффициент</w:t>
      </w:r>
      <w:r w:rsidR="008E5675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привлечен</w:t>
      </w:r>
      <w:r w:rsidR="00B93F5F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</w:t>
      </w:r>
      <w:r w:rsidR="008E5675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средств из </w:t>
      </w:r>
      <w:r w:rsidR="00B93F5F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вышестоящих бюджетов составил </w:t>
      </w:r>
      <w:r w:rsidR="009C5024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2,</w:t>
      </w:r>
      <w:r w:rsidR="00315CDC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3F6BD3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315CDC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8E5675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 говорит о</w:t>
      </w:r>
      <w:r w:rsidR="00FF553A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</w:t>
      </w:r>
      <w:r w:rsidR="003E10CB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10395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устойчивой</w:t>
      </w:r>
      <w:r w:rsidR="00E1504B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тенденции</w:t>
      </w:r>
      <w:r w:rsidR="008E5675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93F5F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снижени</w:t>
      </w:r>
      <w:r w:rsidR="00E1504B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="00B101D6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93F5F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самостоятельности городского бюджета, снижении возможностей для принятия управленческих решений</w:t>
      </w:r>
      <w:r w:rsidR="00B101D6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именно орг</w:t>
      </w:r>
      <w:r w:rsidR="009C5024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B101D6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нами местного самоуправления</w:t>
      </w:r>
      <w:r w:rsidR="00FF553A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4162AC" w:rsidRPr="00AA69BB" w:rsidRDefault="000240AD" w:rsidP="008E567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8E5675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Основными критериями методики оценки эффективности </w:t>
      </w:r>
      <w:r w:rsidR="00D434F9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8E5675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 являются выполнение запланированных мероприятий</w:t>
      </w:r>
      <w:r w:rsidR="00CB4E13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достижение значений индикаторов</w:t>
      </w:r>
      <w:r w:rsidR="008E5675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уровень финансового обеспечения </w:t>
      </w:r>
      <w:r w:rsidR="00D434F9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8E5675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П. </w:t>
      </w:r>
      <w:r w:rsidR="00424011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</w:t>
      </w:r>
      <w:r w:rsidR="00971BCD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3F6BD3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424011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 как и </w:t>
      </w:r>
      <w:r w:rsidR="00E1504B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ранее,</w:t>
      </w:r>
      <w:r w:rsidR="00424011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</w:t>
      </w:r>
      <w:r w:rsidR="008E5675" w:rsidRPr="00AA69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ысокие оценки по этим критериям получают, как правило, программы, разработка и реализация которых является одним из условий </w:t>
      </w:r>
      <w:r w:rsidR="008E5675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обязательного софинансирования к средствам вышестоящих бюджетов. </w:t>
      </w:r>
    </w:p>
    <w:p w:rsidR="008E5675" w:rsidRPr="00AA69BB" w:rsidRDefault="00E64D57" w:rsidP="008E5675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Достижение р</w:t>
      </w:r>
      <w:r w:rsidR="004162AC" w:rsidRPr="00AA69BB">
        <w:rPr>
          <w:rFonts w:ascii="Times New Roman" w:eastAsia="Times New Roman" w:hAnsi="Times New Roman"/>
          <w:sz w:val="28"/>
          <w:szCs w:val="28"/>
          <w:lang w:eastAsia="ru-RU"/>
        </w:rPr>
        <w:t>яд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162AC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принятых в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программах </w:t>
      </w:r>
      <w:r w:rsidR="004162AC" w:rsidRPr="00AA69BB">
        <w:rPr>
          <w:rFonts w:ascii="Times New Roman" w:eastAsia="Times New Roman" w:hAnsi="Times New Roman"/>
          <w:sz w:val="28"/>
          <w:szCs w:val="28"/>
          <w:lang w:eastAsia="ru-RU"/>
        </w:rPr>
        <w:t>индикаторов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01D6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лишь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косвенно зависит от выполнения мероприятий программ.</w:t>
      </w:r>
    </w:p>
    <w:p w:rsidR="008E5675" w:rsidRPr="00AA69BB" w:rsidRDefault="000240AD" w:rsidP="008E567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E5675" w:rsidRPr="00AA69BB">
        <w:rPr>
          <w:rFonts w:ascii="Times New Roman" w:eastAsia="Times New Roman" w:hAnsi="Times New Roman"/>
          <w:sz w:val="28"/>
          <w:szCs w:val="28"/>
          <w:lang w:eastAsia="ru-RU"/>
        </w:rPr>
        <w:t>. В целях повышения эффективности реализации программ в следующем плановом периоде необходимо:</w:t>
      </w:r>
    </w:p>
    <w:p w:rsidR="00FC1277" w:rsidRPr="00AA69BB" w:rsidRDefault="000240AD" w:rsidP="008E567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FC1277" w:rsidRPr="00AA69BB">
        <w:rPr>
          <w:rFonts w:ascii="Times New Roman" w:eastAsia="Times New Roman" w:hAnsi="Times New Roman"/>
          <w:sz w:val="28"/>
          <w:szCs w:val="28"/>
          <w:lang w:eastAsia="ru-RU"/>
        </w:rPr>
        <w:t>.1. ответственным исполнителям программ своевременно приводить программы в соответствие с утвержденным бюджетом городского округа</w:t>
      </w:r>
      <w:r w:rsidR="00315CDC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 Рыбинск Ярославской области </w:t>
      </w:r>
      <w:r w:rsidR="00FC1277" w:rsidRPr="00AA69BB">
        <w:rPr>
          <w:rFonts w:ascii="Times New Roman" w:eastAsia="Times New Roman" w:hAnsi="Times New Roman"/>
          <w:sz w:val="28"/>
          <w:szCs w:val="28"/>
          <w:lang w:eastAsia="ru-RU"/>
        </w:rPr>
        <w:t>и изменениями, вносимыми в него;</w:t>
      </w:r>
    </w:p>
    <w:p w:rsidR="00FC1277" w:rsidRPr="00AA69BB" w:rsidRDefault="000240AD" w:rsidP="008E567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FC1277" w:rsidRPr="00AA69BB">
        <w:rPr>
          <w:rFonts w:ascii="Times New Roman" w:eastAsia="Times New Roman" w:hAnsi="Times New Roman"/>
          <w:sz w:val="28"/>
          <w:szCs w:val="28"/>
          <w:lang w:eastAsia="ru-RU"/>
        </w:rPr>
        <w:t>.2. ответственным исполнителям программ предоставлять в управление экономического развития и инвестиций максимально точную отчетную информацию по фактическому финансированию мероприятий программ, соответствующую отчетной информации, предоставляемой в департамент финансов;</w:t>
      </w:r>
    </w:p>
    <w:p w:rsidR="00385140" w:rsidRPr="00AA69BB" w:rsidRDefault="000240AD" w:rsidP="001F033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F0333" w:rsidRPr="00AA69B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71BCD" w:rsidRPr="00AA69B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F0333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85140" w:rsidRPr="00AA69B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1F0333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1BCD" w:rsidRPr="00AA69B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4B47D3" w:rsidRPr="00AA69B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F0333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="00B101D6" w:rsidRPr="00AA69BB">
        <w:rPr>
          <w:rFonts w:ascii="Times New Roman" w:eastAsia="Times New Roman" w:hAnsi="Times New Roman"/>
          <w:sz w:val="28"/>
          <w:szCs w:val="28"/>
          <w:lang w:eastAsia="ru-RU"/>
        </w:rPr>
        <w:t>планировать</w:t>
      </w:r>
      <w:r w:rsidR="001F0333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индикаторы программ, </w:t>
      </w:r>
      <w:r w:rsidR="00B101D6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с одной стороны максимально </w:t>
      </w:r>
      <w:r w:rsidR="001F0333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приведя их в соответствие </w:t>
      </w:r>
      <w:r w:rsidR="00AC47D8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с индикаторами </w:t>
      </w:r>
      <w:r w:rsidR="00E15BE5" w:rsidRPr="00AA69BB">
        <w:rPr>
          <w:rFonts w:ascii="Times New Roman" w:eastAsia="Times New Roman" w:hAnsi="Times New Roman"/>
          <w:sz w:val="28"/>
          <w:szCs w:val="28"/>
          <w:lang w:eastAsia="ru-RU"/>
        </w:rPr>
        <w:t>Стратегии</w:t>
      </w:r>
      <w:r w:rsidR="00AC47D8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0333" w:rsidRPr="00AA69BB">
        <w:rPr>
          <w:rFonts w:ascii="Times New Roman" w:eastAsia="Times New Roman" w:hAnsi="Times New Roman"/>
          <w:sz w:val="28"/>
          <w:szCs w:val="28"/>
          <w:lang w:eastAsia="ru-RU"/>
        </w:rPr>
        <w:t>социально-экономического развития городского округа</w:t>
      </w:r>
      <w:r w:rsidR="00AC47D8" w:rsidRPr="00AA69B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85140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с другой стороны в планировании индикаторов исходить из реалистичных возможностей финансирования бюджета городского округа.</w:t>
      </w:r>
    </w:p>
    <w:p w:rsidR="00385140" w:rsidRPr="00AA69BB" w:rsidRDefault="000240AD" w:rsidP="003851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85140" w:rsidRPr="00AA69B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71BCD" w:rsidRPr="00AA69B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85140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. формулировать индикаторы программ таким образом, чтобы они: </w:t>
      </w:r>
    </w:p>
    <w:p w:rsidR="00385140" w:rsidRPr="00AA69BB" w:rsidRDefault="00385140" w:rsidP="003851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а) максимально объективно отражали динамику конкретных улучшений социально-экономического состояния в сфере реализации программы, </w:t>
      </w:r>
    </w:p>
    <w:p w:rsidR="00385140" w:rsidRPr="00AA69BB" w:rsidRDefault="00385140" w:rsidP="003851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б) максимально соответствовали набору показателей </w:t>
      </w:r>
      <w:r w:rsidR="004B47D3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национальных и федеральных проектов, региональных программ, показателей 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оценки эффективности деятельности органов местного самоуправления, иных федеральных, региональных, отраслевых показателей (Указ Президента Российской Федерации от 28.04.2008 №607 «Об оценке эффективности деятельности органов местного самоуправления городских округов и муниципальных районов», Указ Президента Российской Федерации от </w:t>
      </w:r>
      <w:r w:rsidR="00E15BE5" w:rsidRPr="00AA69BB">
        <w:rPr>
          <w:rFonts w:ascii="Times New Roman" w:eastAsia="Times New Roman" w:hAnsi="Times New Roman"/>
          <w:sz w:val="28"/>
          <w:szCs w:val="28"/>
          <w:lang w:eastAsia="ru-RU"/>
        </w:rPr>
        <w:t>07.05.2018 № 204 «О национальных целях и стратегических задачах развития Российской Федерации на период до 2024 года»</w:t>
      </w: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, иные отраслевые нормативные правовые акты федерального и регионального уровня);</w:t>
      </w:r>
    </w:p>
    <w:p w:rsidR="001F0333" w:rsidRPr="00AA69BB" w:rsidRDefault="004B47D3" w:rsidP="001F033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="00385140" w:rsidRPr="00AA69B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71BCD" w:rsidRPr="00AA69B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85140" w:rsidRPr="00AA69B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F0333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максимально точно сбалансировать ограниченное бюджетное финансирование и заявленные приоритеты</w:t>
      </w:r>
      <w:r w:rsidR="00AC47D8" w:rsidRPr="00AA69B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="001F0333" w:rsidRPr="00AA69B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85140" w:rsidRPr="00AA69BB" w:rsidRDefault="004B47D3" w:rsidP="001F033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85140" w:rsidRPr="00AA69B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71BCD" w:rsidRPr="00AA69BB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385140" w:rsidRPr="00AA69BB">
        <w:rPr>
          <w:rFonts w:ascii="Times New Roman" w:eastAsia="Times New Roman" w:hAnsi="Times New Roman"/>
          <w:sz w:val="28"/>
          <w:szCs w:val="28"/>
          <w:lang w:eastAsia="ru-RU"/>
        </w:rPr>
        <w:t>. максимально использовать все имеющиеся возможности по привлечению финансирования программ из внебюджетных источников;</w:t>
      </w:r>
    </w:p>
    <w:p w:rsidR="008E5675" w:rsidRPr="00AA69BB" w:rsidRDefault="004B47D3" w:rsidP="008E567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69B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E5675" w:rsidRPr="00AA69B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71BCD" w:rsidRPr="00AA69B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8E5675" w:rsidRPr="00AA69BB">
        <w:rPr>
          <w:rFonts w:ascii="Times New Roman" w:eastAsia="Times New Roman" w:hAnsi="Times New Roman"/>
          <w:sz w:val="28"/>
          <w:szCs w:val="28"/>
          <w:lang w:eastAsia="ru-RU"/>
        </w:rPr>
        <w:t>. отказаться от бюджетного финансирования мероприятий, результаты реализации которых незначительны или не явно влияют на улучшение социально-экономического состояния городского округа.</w:t>
      </w:r>
    </w:p>
    <w:p w:rsidR="008A79DD" w:rsidRPr="00AA69BB" w:rsidRDefault="008A79DD" w:rsidP="008E5675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5CDC" w:rsidRPr="00AA69BB" w:rsidRDefault="00315CDC" w:rsidP="008E5675">
      <w:pPr>
        <w:spacing w:after="0" w:line="240" w:lineRule="auto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E5675" w:rsidRPr="00AA69BB" w:rsidRDefault="008E5675" w:rsidP="008E5675">
      <w:pPr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 w:rsidRPr="00AA69BB">
        <w:rPr>
          <w:rFonts w:ascii="Times New Roman" w:hAnsi="Times New Roman"/>
          <w:color w:val="000000"/>
          <w:sz w:val="28"/>
          <w:szCs w:val="28"/>
        </w:rPr>
        <w:t xml:space="preserve">Начальник управления </w:t>
      </w:r>
    </w:p>
    <w:p w:rsidR="002E5DFC" w:rsidRPr="00AA69BB" w:rsidRDefault="008E5675" w:rsidP="008E5675">
      <w:pPr>
        <w:rPr>
          <w:rFonts w:ascii="Times New Roman" w:hAnsi="Times New Roman"/>
          <w:color w:val="000000"/>
          <w:sz w:val="28"/>
          <w:szCs w:val="28"/>
        </w:rPr>
      </w:pPr>
      <w:r w:rsidRPr="00AA69BB">
        <w:rPr>
          <w:rFonts w:ascii="Times New Roman" w:hAnsi="Times New Roman"/>
          <w:color w:val="000000"/>
          <w:sz w:val="28"/>
          <w:szCs w:val="28"/>
        </w:rPr>
        <w:t>экономическ</w:t>
      </w:r>
      <w:r w:rsidR="00601470" w:rsidRPr="00AA69BB">
        <w:rPr>
          <w:rFonts w:ascii="Times New Roman" w:hAnsi="Times New Roman"/>
          <w:color w:val="000000"/>
          <w:sz w:val="28"/>
          <w:szCs w:val="28"/>
        </w:rPr>
        <w:t>ого развития</w:t>
      </w:r>
      <w:r w:rsidR="00C21121">
        <w:rPr>
          <w:rFonts w:ascii="Times New Roman" w:hAnsi="Times New Roman"/>
          <w:color w:val="000000"/>
          <w:sz w:val="28"/>
          <w:szCs w:val="28"/>
        </w:rPr>
        <w:t xml:space="preserve"> и инвестиций</w:t>
      </w:r>
      <w:r w:rsidR="00C21121">
        <w:rPr>
          <w:rFonts w:ascii="Times New Roman" w:hAnsi="Times New Roman"/>
          <w:color w:val="000000"/>
          <w:sz w:val="28"/>
          <w:szCs w:val="28"/>
        </w:rPr>
        <w:tab/>
      </w:r>
      <w:r w:rsidR="00C21121">
        <w:rPr>
          <w:rFonts w:ascii="Times New Roman" w:hAnsi="Times New Roman"/>
          <w:color w:val="000000"/>
          <w:sz w:val="28"/>
          <w:szCs w:val="28"/>
        </w:rPr>
        <w:tab/>
      </w:r>
      <w:r w:rsidR="00C21121">
        <w:rPr>
          <w:rFonts w:ascii="Times New Roman" w:hAnsi="Times New Roman"/>
          <w:color w:val="000000"/>
          <w:sz w:val="28"/>
          <w:szCs w:val="28"/>
        </w:rPr>
        <w:tab/>
      </w:r>
      <w:r w:rsidR="00C21121">
        <w:rPr>
          <w:rFonts w:ascii="Times New Roman" w:hAnsi="Times New Roman"/>
          <w:color w:val="000000"/>
          <w:sz w:val="28"/>
          <w:szCs w:val="28"/>
        </w:rPr>
        <w:tab/>
      </w:r>
      <w:r w:rsidR="00C21121">
        <w:rPr>
          <w:rFonts w:ascii="Times New Roman" w:hAnsi="Times New Roman"/>
          <w:color w:val="000000"/>
          <w:sz w:val="28"/>
          <w:szCs w:val="28"/>
        </w:rPr>
        <w:tab/>
        <w:t xml:space="preserve">    </w:t>
      </w:r>
      <w:r w:rsidR="00601470" w:rsidRPr="00AA69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B47D3" w:rsidRPr="00AA69BB">
        <w:rPr>
          <w:rFonts w:ascii="Times New Roman" w:hAnsi="Times New Roman"/>
          <w:color w:val="000000"/>
          <w:sz w:val="28"/>
          <w:szCs w:val="28"/>
        </w:rPr>
        <w:t>И.А. Мещеряков</w:t>
      </w:r>
    </w:p>
    <w:p w:rsidR="00390E92" w:rsidRPr="00AA69BB" w:rsidRDefault="00390E92" w:rsidP="008E5675">
      <w:pPr>
        <w:rPr>
          <w:rFonts w:ascii="Times New Roman" w:hAnsi="Times New Roman"/>
          <w:color w:val="000000"/>
          <w:sz w:val="28"/>
          <w:szCs w:val="28"/>
        </w:rPr>
      </w:pPr>
    </w:p>
    <w:p w:rsidR="00390E92" w:rsidRPr="00AA69BB" w:rsidRDefault="00390E92" w:rsidP="008E5675">
      <w:pPr>
        <w:rPr>
          <w:rFonts w:ascii="Times New Roman" w:hAnsi="Times New Roman"/>
          <w:color w:val="000000"/>
          <w:sz w:val="28"/>
          <w:szCs w:val="28"/>
        </w:rPr>
      </w:pPr>
    </w:p>
    <w:p w:rsidR="00390E92" w:rsidRPr="00AA69BB" w:rsidRDefault="00390E92" w:rsidP="008E5675">
      <w:pPr>
        <w:rPr>
          <w:rFonts w:ascii="Times New Roman" w:hAnsi="Times New Roman"/>
          <w:color w:val="000000"/>
          <w:sz w:val="28"/>
          <w:szCs w:val="28"/>
        </w:rPr>
      </w:pPr>
    </w:p>
    <w:p w:rsidR="00315CDC" w:rsidRPr="00AA69BB" w:rsidRDefault="00315CDC" w:rsidP="008E5675">
      <w:pPr>
        <w:rPr>
          <w:rFonts w:ascii="Times New Roman" w:hAnsi="Times New Roman"/>
          <w:sz w:val="28"/>
          <w:szCs w:val="28"/>
        </w:rPr>
      </w:pPr>
    </w:p>
    <w:p w:rsidR="004B47D3" w:rsidRDefault="004B47D3" w:rsidP="008E5675">
      <w:pPr>
        <w:rPr>
          <w:rFonts w:ascii="Times New Roman" w:hAnsi="Times New Roman"/>
          <w:sz w:val="28"/>
          <w:szCs w:val="28"/>
        </w:rPr>
      </w:pPr>
    </w:p>
    <w:p w:rsidR="00C21121" w:rsidRDefault="00C21121" w:rsidP="008E5675">
      <w:pPr>
        <w:rPr>
          <w:rFonts w:ascii="Times New Roman" w:hAnsi="Times New Roman"/>
          <w:sz w:val="28"/>
          <w:szCs w:val="28"/>
        </w:rPr>
      </w:pPr>
    </w:p>
    <w:p w:rsidR="00C21121" w:rsidRDefault="00C21121" w:rsidP="008E5675">
      <w:pPr>
        <w:rPr>
          <w:rFonts w:ascii="Times New Roman" w:hAnsi="Times New Roman"/>
          <w:sz w:val="28"/>
          <w:szCs w:val="28"/>
        </w:rPr>
      </w:pPr>
    </w:p>
    <w:p w:rsidR="00C21121" w:rsidRDefault="00C21121" w:rsidP="008E5675">
      <w:pPr>
        <w:rPr>
          <w:rFonts w:ascii="Times New Roman" w:hAnsi="Times New Roman"/>
          <w:sz w:val="28"/>
          <w:szCs w:val="28"/>
        </w:rPr>
      </w:pPr>
    </w:p>
    <w:p w:rsidR="00C21121" w:rsidRDefault="00C21121" w:rsidP="008E5675">
      <w:pPr>
        <w:rPr>
          <w:rFonts w:ascii="Times New Roman" w:hAnsi="Times New Roman"/>
          <w:sz w:val="28"/>
          <w:szCs w:val="28"/>
        </w:rPr>
      </w:pPr>
    </w:p>
    <w:p w:rsidR="00C21121" w:rsidRDefault="00C21121" w:rsidP="008E5675">
      <w:pPr>
        <w:rPr>
          <w:rFonts w:ascii="Times New Roman" w:hAnsi="Times New Roman"/>
          <w:sz w:val="28"/>
          <w:szCs w:val="28"/>
        </w:rPr>
      </w:pPr>
    </w:p>
    <w:p w:rsidR="00C21121" w:rsidRDefault="00C21121" w:rsidP="008E5675">
      <w:pPr>
        <w:rPr>
          <w:rFonts w:ascii="Times New Roman" w:hAnsi="Times New Roman"/>
          <w:sz w:val="28"/>
          <w:szCs w:val="28"/>
        </w:rPr>
      </w:pPr>
    </w:p>
    <w:p w:rsidR="00C21121" w:rsidRDefault="00C21121" w:rsidP="008E5675">
      <w:pPr>
        <w:rPr>
          <w:rFonts w:ascii="Times New Roman" w:hAnsi="Times New Roman"/>
          <w:sz w:val="28"/>
          <w:szCs w:val="28"/>
        </w:rPr>
      </w:pPr>
    </w:p>
    <w:p w:rsidR="00C21121" w:rsidRDefault="00C21121" w:rsidP="008E5675">
      <w:pPr>
        <w:rPr>
          <w:rFonts w:ascii="Times New Roman" w:hAnsi="Times New Roman"/>
          <w:sz w:val="28"/>
          <w:szCs w:val="28"/>
        </w:rPr>
      </w:pPr>
    </w:p>
    <w:p w:rsidR="00C21121" w:rsidRPr="00AA69BB" w:rsidRDefault="00C21121" w:rsidP="008E5675">
      <w:pPr>
        <w:rPr>
          <w:rFonts w:ascii="Times New Roman" w:hAnsi="Times New Roman"/>
          <w:sz w:val="28"/>
          <w:szCs w:val="28"/>
        </w:rPr>
      </w:pPr>
    </w:p>
    <w:p w:rsidR="00315CDC" w:rsidRPr="00AA69BB" w:rsidRDefault="00315CDC" w:rsidP="008E5675">
      <w:pPr>
        <w:rPr>
          <w:rFonts w:ascii="Times New Roman" w:hAnsi="Times New Roman"/>
          <w:sz w:val="28"/>
          <w:szCs w:val="28"/>
        </w:rPr>
      </w:pPr>
    </w:p>
    <w:p w:rsidR="00315CDC" w:rsidRPr="00AA69BB" w:rsidRDefault="00315CDC" w:rsidP="008E5675">
      <w:pPr>
        <w:rPr>
          <w:rFonts w:ascii="Times New Roman" w:hAnsi="Times New Roman"/>
          <w:sz w:val="28"/>
          <w:szCs w:val="28"/>
        </w:rPr>
      </w:pPr>
    </w:p>
    <w:p w:rsidR="00315CDC" w:rsidRPr="00AA69BB" w:rsidRDefault="00315CDC" w:rsidP="008E5675">
      <w:pPr>
        <w:rPr>
          <w:rFonts w:ascii="Times New Roman" w:hAnsi="Times New Roman"/>
          <w:sz w:val="28"/>
          <w:szCs w:val="28"/>
        </w:rPr>
      </w:pPr>
    </w:p>
    <w:p w:rsidR="00315CDC" w:rsidRPr="00C21121" w:rsidRDefault="00315CDC" w:rsidP="008E5675">
      <w:pPr>
        <w:rPr>
          <w:rFonts w:ascii="Times New Roman" w:hAnsi="Times New Roman"/>
          <w:sz w:val="24"/>
          <w:szCs w:val="28"/>
        </w:rPr>
      </w:pPr>
      <w:r w:rsidRPr="00C21121">
        <w:rPr>
          <w:rFonts w:ascii="Times New Roman" w:hAnsi="Times New Roman"/>
          <w:sz w:val="24"/>
          <w:szCs w:val="28"/>
        </w:rPr>
        <w:t xml:space="preserve">Лапшина Евгения Николаевна, </w:t>
      </w:r>
      <w:r w:rsidR="00C21121" w:rsidRPr="00C21121">
        <w:rPr>
          <w:rFonts w:ascii="Times New Roman" w:hAnsi="Times New Roman"/>
          <w:sz w:val="24"/>
          <w:szCs w:val="28"/>
        </w:rPr>
        <w:t>(4855)</w:t>
      </w:r>
      <w:r w:rsidRPr="00C21121">
        <w:rPr>
          <w:rFonts w:ascii="Times New Roman" w:hAnsi="Times New Roman"/>
          <w:sz w:val="24"/>
          <w:szCs w:val="28"/>
        </w:rPr>
        <w:t>29</w:t>
      </w:r>
      <w:r w:rsidR="00C21121" w:rsidRPr="00C21121">
        <w:rPr>
          <w:rFonts w:ascii="Times New Roman" w:hAnsi="Times New Roman"/>
          <w:sz w:val="24"/>
          <w:szCs w:val="28"/>
        </w:rPr>
        <w:t>-</w:t>
      </w:r>
      <w:r w:rsidRPr="00C21121">
        <w:rPr>
          <w:rFonts w:ascii="Times New Roman" w:hAnsi="Times New Roman"/>
          <w:sz w:val="24"/>
          <w:szCs w:val="28"/>
        </w:rPr>
        <w:t>01</w:t>
      </w:r>
      <w:r w:rsidR="00C21121" w:rsidRPr="00C21121">
        <w:rPr>
          <w:rFonts w:ascii="Times New Roman" w:hAnsi="Times New Roman"/>
          <w:sz w:val="24"/>
          <w:szCs w:val="28"/>
        </w:rPr>
        <w:t>-</w:t>
      </w:r>
      <w:r w:rsidRPr="00C21121">
        <w:rPr>
          <w:rFonts w:ascii="Times New Roman" w:hAnsi="Times New Roman"/>
          <w:sz w:val="24"/>
          <w:szCs w:val="28"/>
        </w:rPr>
        <w:t>27</w:t>
      </w:r>
    </w:p>
    <w:sectPr w:rsidR="00315CDC" w:rsidRPr="00C21121" w:rsidSect="00390E92">
      <w:headerReference w:type="default" r:id="rId12"/>
      <w:footerReference w:type="default" r:id="rId13"/>
      <w:pgSz w:w="11906" w:h="16838"/>
      <w:pgMar w:top="52" w:right="566" w:bottom="567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80A" w:rsidRDefault="002A080A" w:rsidP="00EA6CF2">
      <w:pPr>
        <w:spacing w:after="0" w:line="240" w:lineRule="auto"/>
      </w:pPr>
      <w:r>
        <w:separator/>
      </w:r>
    </w:p>
  </w:endnote>
  <w:endnote w:type="continuationSeparator" w:id="0">
    <w:p w:rsidR="002A080A" w:rsidRDefault="002A080A" w:rsidP="00EA6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BBD" w:rsidRPr="008A79DD" w:rsidRDefault="00F46BBD" w:rsidP="008A79DD">
    <w:pPr>
      <w:pStyle w:val="a9"/>
      <w:jc w:val="right"/>
      <w:rPr>
        <w:rFonts w:ascii="Century Gothic" w:hAnsi="Century Gothic"/>
      </w:rPr>
    </w:pPr>
    <w:r w:rsidRPr="00C21121">
      <w:rPr>
        <w:rFonts w:ascii="Times New Roman" w:hAnsi="Times New Roman"/>
      </w:rPr>
      <w:t>Управление экономического развития и инвестиций</w:t>
    </w:r>
    <w:r w:rsidR="00452DE2" w:rsidRPr="00452DE2">
      <w:rPr>
        <w:rFonts w:ascii="Century Gothic" w:eastAsia="Times New Roman" w:hAnsi="Century Gothic"/>
        <w:sz w:val="24"/>
        <w:szCs w:val="24"/>
        <w:lang w:eastAsia="ru-RU"/>
      </w:rPr>
    </w:r>
    <w:r w:rsidR="00452DE2" w:rsidRPr="00452DE2">
      <w:rPr>
        <w:rFonts w:ascii="Century Gothic" w:eastAsia="Times New Roman" w:hAnsi="Century Gothic"/>
        <w:sz w:val="24"/>
        <w:szCs w:val="24"/>
        <w:lang w:eastAsia="ru-RU"/>
      </w:rPr>
      <w:pict>
        <v:group id="_x0000_s2053" style="width:39pt;height:37.95pt;flip:x y;mso-position-horizontal-relative:char;mso-position-vertical-relative:line" coordorigin="8754,11945" coordsize="2880,2859">
          <v:rect id="_x0000_s2054" style="position:absolute;left:10194;top:11945;width:1440;height:1440;flip:x;mso-width-relative:margin;v-text-anchor:middle" fillcolor="#bfbfbf" strokecolor="white" strokeweight="1pt">
            <v:fill opacity=".5"/>
            <v:shadow color="#d8d8d8" offset="3pt,3pt" offset2="2pt,2pt"/>
          </v:rect>
          <v:rect id="_x0000_s2055" style="position:absolute;left:10194;top:13364;width:1440;height:1440;flip:x;mso-width-relative:margin;v-text-anchor:middle" fillcolor="#4caeac" strokecolor="white" strokeweight="1pt">
            <v:shadow color="#d8d8d8" offset="3pt,3pt" offset2="2pt,2pt"/>
          </v:rect>
          <v:rect id="_x0000_s2056" style="position:absolute;left:8754;top:13364;width:1440;height:1440;flip:x;mso-width-relative:margin;v-text-anchor:middle" fillcolor="#ff7c80" strokecolor="white" strokeweight="1pt">
            <v:fill opacity=".5"/>
            <v:shadow color="#d8d8d8" offset="3pt,3pt" offset2="2pt,2pt"/>
          </v:rect>
          <w10:wrap type="none" anchorx="margin" anchory="pag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80A" w:rsidRDefault="002A080A" w:rsidP="00EA6CF2">
      <w:pPr>
        <w:spacing w:after="0" w:line="240" w:lineRule="auto"/>
      </w:pPr>
      <w:r>
        <w:separator/>
      </w:r>
    </w:p>
  </w:footnote>
  <w:footnote w:type="continuationSeparator" w:id="0">
    <w:p w:rsidR="002A080A" w:rsidRDefault="002A080A" w:rsidP="00EA6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792"/>
      <w:gridCol w:w="9630"/>
    </w:tblGrid>
    <w:tr w:rsidR="00F46BBD" w:rsidTr="00074AB2">
      <w:trPr>
        <w:trHeight w:hRule="exact" w:val="792"/>
      </w:trPr>
      <w:tc>
        <w:tcPr>
          <w:tcW w:w="792" w:type="dxa"/>
          <w:shd w:val="clear" w:color="auto" w:fill="4CAEAC"/>
          <w:vAlign w:val="center"/>
        </w:tcPr>
        <w:p w:rsidR="00F46BBD" w:rsidRPr="00074AB2" w:rsidRDefault="00452DE2">
          <w:pPr>
            <w:pStyle w:val="a9"/>
            <w:jc w:val="center"/>
            <w:rPr>
              <w:rFonts w:ascii="Century Gothic" w:hAnsi="Century Gothic"/>
            </w:rPr>
          </w:pPr>
          <w:r w:rsidRPr="00074AB2">
            <w:rPr>
              <w:rFonts w:ascii="Century Gothic" w:hAnsi="Century Gothic"/>
            </w:rPr>
            <w:fldChar w:fldCharType="begin"/>
          </w:r>
          <w:r w:rsidR="00F46BBD" w:rsidRPr="00074AB2">
            <w:rPr>
              <w:rFonts w:ascii="Century Gothic" w:hAnsi="Century Gothic"/>
            </w:rPr>
            <w:instrText xml:space="preserve"> PAGE  \* MERGEFORMAT </w:instrText>
          </w:r>
          <w:r w:rsidRPr="00074AB2">
            <w:rPr>
              <w:rFonts w:ascii="Century Gothic" w:hAnsi="Century Gothic"/>
            </w:rPr>
            <w:fldChar w:fldCharType="separate"/>
          </w:r>
          <w:r w:rsidR="002A080A">
            <w:rPr>
              <w:rFonts w:ascii="Century Gothic" w:hAnsi="Century Gothic"/>
              <w:noProof/>
            </w:rPr>
            <w:t>2</w:t>
          </w:r>
          <w:r w:rsidRPr="00074AB2">
            <w:rPr>
              <w:rFonts w:ascii="Century Gothic" w:hAnsi="Century Gothic"/>
            </w:rPr>
            <w:fldChar w:fldCharType="end"/>
          </w:r>
        </w:p>
      </w:tc>
      <w:tc>
        <w:tcPr>
          <w:tcW w:w="0" w:type="auto"/>
          <w:vAlign w:val="center"/>
        </w:tcPr>
        <w:p w:rsidR="0033655D" w:rsidRPr="00AA69BB" w:rsidRDefault="000E4F55" w:rsidP="00993324">
          <w:pPr>
            <w:pStyle w:val="a9"/>
            <w:rPr>
              <w:rFonts w:ascii="Times New Roman" w:eastAsia="Times New Roman" w:hAnsi="Times New Roman"/>
              <w:szCs w:val="28"/>
            </w:rPr>
          </w:pPr>
          <w:r w:rsidRPr="00AA69BB">
            <w:rPr>
              <w:rFonts w:ascii="Times New Roman" w:eastAsia="Times New Roman" w:hAnsi="Times New Roman"/>
              <w:szCs w:val="28"/>
            </w:rPr>
            <w:t xml:space="preserve">ОТЧЕТ О </w:t>
          </w:r>
          <w:r w:rsidR="00993324" w:rsidRPr="00AA69BB">
            <w:rPr>
              <w:rFonts w:ascii="Times New Roman" w:eastAsia="Times New Roman" w:hAnsi="Times New Roman"/>
              <w:szCs w:val="28"/>
            </w:rPr>
            <w:t>СТЕПЕНИ ДОСТИЖЕНИЯ ИНДИКАТОРОВ СТРАТЕГИИ-2030</w:t>
          </w:r>
          <w:r w:rsidR="00390E92" w:rsidRPr="00AA69BB">
            <w:rPr>
              <w:rFonts w:ascii="Times New Roman" w:eastAsia="Times New Roman" w:hAnsi="Times New Roman"/>
              <w:szCs w:val="28"/>
            </w:rPr>
            <w:t xml:space="preserve">, </w:t>
          </w:r>
          <w:r w:rsidRPr="00AA69BB">
            <w:rPr>
              <w:rFonts w:ascii="Times New Roman" w:eastAsia="Times New Roman" w:hAnsi="Times New Roman"/>
              <w:szCs w:val="28"/>
            </w:rPr>
            <w:t>МУНИЦИПАЛЬНЫХ ПРОГРАММ</w:t>
          </w:r>
          <w:r w:rsidR="0033655D" w:rsidRPr="00AA69BB">
            <w:rPr>
              <w:rFonts w:ascii="Times New Roman" w:eastAsia="Times New Roman" w:hAnsi="Times New Roman"/>
              <w:szCs w:val="28"/>
            </w:rPr>
            <w:t xml:space="preserve"> ЗА 2022</w:t>
          </w:r>
        </w:p>
        <w:p w:rsidR="00993324" w:rsidRPr="00993324" w:rsidRDefault="00993324" w:rsidP="00993324">
          <w:pPr>
            <w:pStyle w:val="a9"/>
            <w:rPr>
              <w:rFonts w:ascii="Century Gothic" w:eastAsia="Times New Roman" w:hAnsi="Century Gothic"/>
              <w:sz w:val="20"/>
              <w:szCs w:val="28"/>
            </w:rPr>
          </w:pPr>
          <w:r>
            <w:rPr>
              <w:rFonts w:ascii="Century Gothic" w:eastAsia="Times New Roman" w:hAnsi="Century Gothic"/>
              <w:sz w:val="20"/>
              <w:szCs w:val="28"/>
            </w:rPr>
            <w:t xml:space="preserve"> ГОД</w:t>
          </w:r>
        </w:p>
      </w:tc>
    </w:tr>
  </w:tbl>
  <w:p w:rsidR="00F46BBD" w:rsidRDefault="00F46BBD" w:rsidP="00074AB2">
    <w:pPr>
      <w:pStyle w:val="a7"/>
      <w:tabs>
        <w:tab w:val="clear" w:pos="4677"/>
        <w:tab w:val="clear" w:pos="9355"/>
        <w:tab w:val="left" w:pos="1309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9516B"/>
    <w:multiLevelType w:val="hybridMultilevel"/>
    <w:tmpl w:val="65724A5A"/>
    <w:lvl w:ilvl="0" w:tplc="3BBC0DF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F752408"/>
    <w:multiLevelType w:val="hybridMultilevel"/>
    <w:tmpl w:val="E05006B6"/>
    <w:lvl w:ilvl="0" w:tplc="6DEA2D7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3F4DD9"/>
    <w:multiLevelType w:val="hybridMultilevel"/>
    <w:tmpl w:val="ECC4C0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9A3A89"/>
    <w:multiLevelType w:val="hybridMultilevel"/>
    <w:tmpl w:val="2B907DF8"/>
    <w:lvl w:ilvl="0" w:tplc="F3AE08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5C39D2"/>
    <w:multiLevelType w:val="hybridMultilevel"/>
    <w:tmpl w:val="D8802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27DBB"/>
    <w:multiLevelType w:val="hybridMultilevel"/>
    <w:tmpl w:val="803E3A60"/>
    <w:lvl w:ilvl="0" w:tplc="FC1429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04384"/>
    <w:multiLevelType w:val="hybridMultilevel"/>
    <w:tmpl w:val="02E41E12"/>
    <w:lvl w:ilvl="0" w:tplc="65E2EC1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A736CD9"/>
    <w:multiLevelType w:val="hybridMultilevel"/>
    <w:tmpl w:val="FE244FE6"/>
    <w:lvl w:ilvl="0" w:tplc="A3FED3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D311E51"/>
    <w:multiLevelType w:val="hybridMultilevel"/>
    <w:tmpl w:val="92C2C25E"/>
    <w:lvl w:ilvl="0" w:tplc="3D8ED75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5E414060"/>
    <w:multiLevelType w:val="hybridMultilevel"/>
    <w:tmpl w:val="B26E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1071FC"/>
    <w:multiLevelType w:val="hybridMultilevel"/>
    <w:tmpl w:val="1F1E3D90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1">
    <w:nsid w:val="6B9E59B3"/>
    <w:multiLevelType w:val="hybridMultilevel"/>
    <w:tmpl w:val="7DD4CE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45D6C61"/>
    <w:multiLevelType w:val="hybridMultilevel"/>
    <w:tmpl w:val="80B2B240"/>
    <w:lvl w:ilvl="0" w:tplc="907AFFF2">
      <w:start w:val="1"/>
      <w:numFmt w:val="decimal"/>
      <w:lvlText w:val="%1."/>
      <w:lvlJc w:val="left"/>
      <w:pPr>
        <w:ind w:left="1482" w:hanging="91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12"/>
  </w:num>
  <w:num w:numId="8">
    <w:abstractNumId w:val="9"/>
  </w:num>
  <w:num w:numId="9">
    <w:abstractNumId w:val="3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E5675"/>
    <w:rsid w:val="0000440B"/>
    <w:rsid w:val="0001467E"/>
    <w:rsid w:val="000240AD"/>
    <w:rsid w:val="000355D6"/>
    <w:rsid w:val="00040172"/>
    <w:rsid w:val="00050FBC"/>
    <w:rsid w:val="00051E5D"/>
    <w:rsid w:val="00055F3A"/>
    <w:rsid w:val="00074AB2"/>
    <w:rsid w:val="000763BD"/>
    <w:rsid w:val="000817C0"/>
    <w:rsid w:val="000863B7"/>
    <w:rsid w:val="0008752C"/>
    <w:rsid w:val="000A14D4"/>
    <w:rsid w:val="000A4D38"/>
    <w:rsid w:val="000C4343"/>
    <w:rsid w:val="000C77BC"/>
    <w:rsid w:val="000D0360"/>
    <w:rsid w:val="000D49CC"/>
    <w:rsid w:val="000D5682"/>
    <w:rsid w:val="000D5895"/>
    <w:rsid w:val="000E4F55"/>
    <w:rsid w:val="00104270"/>
    <w:rsid w:val="001155AC"/>
    <w:rsid w:val="0011726F"/>
    <w:rsid w:val="001244EA"/>
    <w:rsid w:val="001264E7"/>
    <w:rsid w:val="0013648E"/>
    <w:rsid w:val="001458BA"/>
    <w:rsid w:val="00161EA9"/>
    <w:rsid w:val="00185828"/>
    <w:rsid w:val="00185CA6"/>
    <w:rsid w:val="00194DFF"/>
    <w:rsid w:val="001A7BF1"/>
    <w:rsid w:val="001B50B0"/>
    <w:rsid w:val="001C1D75"/>
    <w:rsid w:val="001D579C"/>
    <w:rsid w:val="001E3AEF"/>
    <w:rsid w:val="001E4DBD"/>
    <w:rsid w:val="001F0333"/>
    <w:rsid w:val="001F1F33"/>
    <w:rsid w:val="001F615A"/>
    <w:rsid w:val="001F706D"/>
    <w:rsid w:val="00202EE7"/>
    <w:rsid w:val="00206797"/>
    <w:rsid w:val="00207061"/>
    <w:rsid w:val="00215713"/>
    <w:rsid w:val="00222856"/>
    <w:rsid w:val="00231600"/>
    <w:rsid w:val="00234C96"/>
    <w:rsid w:val="002406F0"/>
    <w:rsid w:val="002458C0"/>
    <w:rsid w:val="00264BCF"/>
    <w:rsid w:val="002740FA"/>
    <w:rsid w:val="00277ABF"/>
    <w:rsid w:val="00282D1F"/>
    <w:rsid w:val="0028572B"/>
    <w:rsid w:val="00287682"/>
    <w:rsid w:val="00291AF1"/>
    <w:rsid w:val="002A080A"/>
    <w:rsid w:val="002B74B2"/>
    <w:rsid w:val="002C28E8"/>
    <w:rsid w:val="002C529E"/>
    <w:rsid w:val="002D0170"/>
    <w:rsid w:val="002D38FF"/>
    <w:rsid w:val="002E0919"/>
    <w:rsid w:val="002E4A69"/>
    <w:rsid w:val="002E5DFC"/>
    <w:rsid w:val="002F0B81"/>
    <w:rsid w:val="002F4933"/>
    <w:rsid w:val="00307F77"/>
    <w:rsid w:val="00311ABB"/>
    <w:rsid w:val="00315CDC"/>
    <w:rsid w:val="003228B2"/>
    <w:rsid w:val="0033655D"/>
    <w:rsid w:val="00341E5D"/>
    <w:rsid w:val="00347878"/>
    <w:rsid w:val="00356DE4"/>
    <w:rsid w:val="003575BD"/>
    <w:rsid w:val="0036180A"/>
    <w:rsid w:val="00367DDC"/>
    <w:rsid w:val="00370D3B"/>
    <w:rsid w:val="003768E8"/>
    <w:rsid w:val="003800F3"/>
    <w:rsid w:val="003829B1"/>
    <w:rsid w:val="00385140"/>
    <w:rsid w:val="00386AA6"/>
    <w:rsid w:val="00386EF3"/>
    <w:rsid w:val="00390676"/>
    <w:rsid w:val="00390E92"/>
    <w:rsid w:val="00394391"/>
    <w:rsid w:val="003A09BE"/>
    <w:rsid w:val="003A6B55"/>
    <w:rsid w:val="003D43CC"/>
    <w:rsid w:val="003D4846"/>
    <w:rsid w:val="003E10CB"/>
    <w:rsid w:val="003F2D52"/>
    <w:rsid w:val="003F554A"/>
    <w:rsid w:val="003F6BD3"/>
    <w:rsid w:val="004125CF"/>
    <w:rsid w:val="004162AC"/>
    <w:rsid w:val="00424011"/>
    <w:rsid w:val="00426E00"/>
    <w:rsid w:val="00451514"/>
    <w:rsid w:val="00452DE2"/>
    <w:rsid w:val="00455EFC"/>
    <w:rsid w:val="00461A54"/>
    <w:rsid w:val="004636AD"/>
    <w:rsid w:val="00472C75"/>
    <w:rsid w:val="00473512"/>
    <w:rsid w:val="00487A08"/>
    <w:rsid w:val="004909FF"/>
    <w:rsid w:val="004A2885"/>
    <w:rsid w:val="004A7107"/>
    <w:rsid w:val="004B1B60"/>
    <w:rsid w:val="004B47D3"/>
    <w:rsid w:val="004B68FE"/>
    <w:rsid w:val="004C0013"/>
    <w:rsid w:val="004C18A8"/>
    <w:rsid w:val="004E189E"/>
    <w:rsid w:val="004F5465"/>
    <w:rsid w:val="004F6773"/>
    <w:rsid w:val="00506264"/>
    <w:rsid w:val="005122B0"/>
    <w:rsid w:val="00517ABA"/>
    <w:rsid w:val="005272A6"/>
    <w:rsid w:val="00534799"/>
    <w:rsid w:val="00543DB7"/>
    <w:rsid w:val="00554671"/>
    <w:rsid w:val="005611F3"/>
    <w:rsid w:val="0056185E"/>
    <w:rsid w:val="0056662A"/>
    <w:rsid w:val="00567ADD"/>
    <w:rsid w:val="00574942"/>
    <w:rsid w:val="00580DF1"/>
    <w:rsid w:val="00590B3A"/>
    <w:rsid w:val="005968BF"/>
    <w:rsid w:val="005A19AD"/>
    <w:rsid w:val="005A61EA"/>
    <w:rsid w:val="005B3F35"/>
    <w:rsid w:val="005C5D97"/>
    <w:rsid w:val="005D2057"/>
    <w:rsid w:val="005E13AA"/>
    <w:rsid w:val="005E4028"/>
    <w:rsid w:val="005E68B0"/>
    <w:rsid w:val="005F42C2"/>
    <w:rsid w:val="005F758F"/>
    <w:rsid w:val="00601470"/>
    <w:rsid w:val="006137EC"/>
    <w:rsid w:val="00615FC6"/>
    <w:rsid w:val="00617C00"/>
    <w:rsid w:val="0062043C"/>
    <w:rsid w:val="00621753"/>
    <w:rsid w:val="00621ACE"/>
    <w:rsid w:val="006245FF"/>
    <w:rsid w:val="00625ABE"/>
    <w:rsid w:val="006277E3"/>
    <w:rsid w:val="006315C3"/>
    <w:rsid w:val="006362BC"/>
    <w:rsid w:val="0064086B"/>
    <w:rsid w:val="006533EE"/>
    <w:rsid w:val="00660E57"/>
    <w:rsid w:val="00663175"/>
    <w:rsid w:val="0068585D"/>
    <w:rsid w:val="00695860"/>
    <w:rsid w:val="00695E53"/>
    <w:rsid w:val="00697AF1"/>
    <w:rsid w:val="006B7AD4"/>
    <w:rsid w:val="006C241E"/>
    <w:rsid w:val="006D3704"/>
    <w:rsid w:val="006D44B7"/>
    <w:rsid w:val="006D7BB9"/>
    <w:rsid w:val="006E272A"/>
    <w:rsid w:val="006E3D2C"/>
    <w:rsid w:val="006E7F27"/>
    <w:rsid w:val="006F0806"/>
    <w:rsid w:val="007006DE"/>
    <w:rsid w:val="00712F28"/>
    <w:rsid w:val="00720364"/>
    <w:rsid w:val="007411F4"/>
    <w:rsid w:val="00746650"/>
    <w:rsid w:val="00753442"/>
    <w:rsid w:val="00761761"/>
    <w:rsid w:val="00767ABE"/>
    <w:rsid w:val="00776B8E"/>
    <w:rsid w:val="0077714B"/>
    <w:rsid w:val="0078234B"/>
    <w:rsid w:val="0079329F"/>
    <w:rsid w:val="007943F8"/>
    <w:rsid w:val="00797B5C"/>
    <w:rsid w:val="007A2E6C"/>
    <w:rsid w:val="007A395B"/>
    <w:rsid w:val="007A468F"/>
    <w:rsid w:val="007A6035"/>
    <w:rsid w:val="007B0FD2"/>
    <w:rsid w:val="007B66D3"/>
    <w:rsid w:val="007C3B2E"/>
    <w:rsid w:val="007C3C9E"/>
    <w:rsid w:val="007C798D"/>
    <w:rsid w:val="007E48AB"/>
    <w:rsid w:val="007F1EAC"/>
    <w:rsid w:val="0080143B"/>
    <w:rsid w:val="008020E1"/>
    <w:rsid w:val="0080311B"/>
    <w:rsid w:val="00803FC4"/>
    <w:rsid w:val="00813BE7"/>
    <w:rsid w:val="008163D4"/>
    <w:rsid w:val="00822310"/>
    <w:rsid w:val="00822461"/>
    <w:rsid w:val="008332EF"/>
    <w:rsid w:val="0084493B"/>
    <w:rsid w:val="00852EC7"/>
    <w:rsid w:val="008604CE"/>
    <w:rsid w:val="008659F2"/>
    <w:rsid w:val="008A2A66"/>
    <w:rsid w:val="008A300C"/>
    <w:rsid w:val="008A79DD"/>
    <w:rsid w:val="008B21AD"/>
    <w:rsid w:val="008C53DF"/>
    <w:rsid w:val="008E3696"/>
    <w:rsid w:val="008E5675"/>
    <w:rsid w:val="008F19C0"/>
    <w:rsid w:val="008F319B"/>
    <w:rsid w:val="008F569D"/>
    <w:rsid w:val="008F5EDA"/>
    <w:rsid w:val="009020BC"/>
    <w:rsid w:val="00902946"/>
    <w:rsid w:val="00905926"/>
    <w:rsid w:val="00916244"/>
    <w:rsid w:val="009168B2"/>
    <w:rsid w:val="00933C71"/>
    <w:rsid w:val="009367E6"/>
    <w:rsid w:val="00936E9A"/>
    <w:rsid w:val="009616B2"/>
    <w:rsid w:val="00962E42"/>
    <w:rsid w:val="00971BCD"/>
    <w:rsid w:val="00971CFA"/>
    <w:rsid w:val="009727CF"/>
    <w:rsid w:val="00976193"/>
    <w:rsid w:val="00983B0E"/>
    <w:rsid w:val="00993324"/>
    <w:rsid w:val="009A20E2"/>
    <w:rsid w:val="009A433C"/>
    <w:rsid w:val="009C0C1B"/>
    <w:rsid w:val="009C492B"/>
    <w:rsid w:val="009C5024"/>
    <w:rsid w:val="009E6F21"/>
    <w:rsid w:val="009F5639"/>
    <w:rsid w:val="009F75A8"/>
    <w:rsid w:val="00A01055"/>
    <w:rsid w:val="00A01EDC"/>
    <w:rsid w:val="00A05289"/>
    <w:rsid w:val="00A06A36"/>
    <w:rsid w:val="00A10049"/>
    <w:rsid w:val="00A10395"/>
    <w:rsid w:val="00A26CC3"/>
    <w:rsid w:val="00A36B5B"/>
    <w:rsid w:val="00A427F7"/>
    <w:rsid w:val="00A42B70"/>
    <w:rsid w:val="00A4341D"/>
    <w:rsid w:val="00A81766"/>
    <w:rsid w:val="00AA69BB"/>
    <w:rsid w:val="00AB2C66"/>
    <w:rsid w:val="00AB69EE"/>
    <w:rsid w:val="00AC47D8"/>
    <w:rsid w:val="00AD5155"/>
    <w:rsid w:val="00AE4CE5"/>
    <w:rsid w:val="00AE5720"/>
    <w:rsid w:val="00AE7F92"/>
    <w:rsid w:val="00AF1D5F"/>
    <w:rsid w:val="00B0018C"/>
    <w:rsid w:val="00B001D1"/>
    <w:rsid w:val="00B046A7"/>
    <w:rsid w:val="00B101D6"/>
    <w:rsid w:val="00B11148"/>
    <w:rsid w:val="00B14C92"/>
    <w:rsid w:val="00B21501"/>
    <w:rsid w:val="00B23FB5"/>
    <w:rsid w:val="00B37D36"/>
    <w:rsid w:val="00B41C74"/>
    <w:rsid w:val="00B4659A"/>
    <w:rsid w:val="00B55F0F"/>
    <w:rsid w:val="00B6010A"/>
    <w:rsid w:val="00B645DA"/>
    <w:rsid w:val="00B71B80"/>
    <w:rsid w:val="00B764B6"/>
    <w:rsid w:val="00B806DB"/>
    <w:rsid w:val="00B835CC"/>
    <w:rsid w:val="00B85EDC"/>
    <w:rsid w:val="00B93F5F"/>
    <w:rsid w:val="00BA09F8"/>
    <w:rsid w:val="00BA5980"/>
    <w:rsid w:val="00BE0E54"/>
    <w:rsid w:val="00BE5202"/>
    <w:rsid w:val="00BE59E2"/>
    <w:rsid w:val="00BE7F41"/>
    <w:rsid w:val="00BF7164"/>
    <w:rsid w:val="00C11E39"/>
    <w:rsid w:val="00C12885"/>
    <w:rsid w:val="00C21121"/>
    <w:rsid w:val="00C26A48"/>
    <w:rsid w:val="00C30345"/>
    <w:rsid w:val="00C32503"/>
    <w:rsid w:val="00C42351"/>
    <w:rsid w:val="00C67BA7"/>
    <w:rsid w:val="00C71BAA"/>
    <w:rsid w:val="00C83D97"/>
    <w:rsid w:val="00C9556D"/>
    <w:rsid w:val="00C968A4"/>
    <w:rsid w:val="00CB08F0"/>
    <w:rsid w:val="00CB35C8"/>
    <w:rsid w:val="00CB4E13"/>
    <w:rsid w:val="00CB79B5"/>
    <w:rsid w:val="00CC29B5"/>
    <w:rsid w:val="00CD4E6D"/>
    <w:rsid w:val="00CD67A3"/>
    <w:rsid w:val="00CE52A7"/>
    <w:rsid w:val="00CE6AFF"/>
    <w:rsid w:val="00CF3EB7"/>
    <w:rsid w:val="00D16E22"/>
    <w:rsid w:val="00D22AFA"/>
    <w:rsid w:val="00D25A73"/>
    <w:rsid w:val="00D2658E"/>
    <w:rsid w:val="00D35B83"/>
    <w:rsid w:val="00D36A0D"/>
    <w:rsid w:val="00D36B12"/>
    <w:rsid w:val="00D430AB"/>
    <w:rsid w:val="00D434F9"/>
    <w:rsid w:val="00D44657"/>
    <w:rsid w:val="00D46421"/>
    <w:rsid w:val="00D46D70"/>
    <w:rsid w:val="00D57EB2"/>
    <w:rsid w:val="00D67851"/>
    <w:rsid w:val="00D73346"/>
    <w:rsid w:val="00D76919"/>
    <w:rsid w:val="00D802EB"/>
    <w:rsid w:val="00D808C8"/>
    <w:rsid w:val="00D92753"/>
    <w:rsid w:val="00DB34FA"/>
    <w:rsid w:val="00DB3F4F"/>
    <w:rsid w:val="00DB40A9"/>
    <w:rsid w:val="00DC2BE4"/>
    <w:rsid w:val="00DF5596"/>
    <w:rsid w:val="00DF67EC"/>
    <w:rsid w:val="00DF717A"/>
    <w:rsid w:val="00E01B42"/>
    <w:rsid w:val="00E05253"/>
    <w:rsid w:val="00E06DE6"/>
    <w:rsid w:val="00E1094B"/>
    <w:rsid w:val="00E11B29"/>
    <w:rsid w:val="00E1389D"/>
    <w:rsid w:val="00E1504B"/>
    <w:rsid w:val="00E15BE5"/>
    <w:rsid w:val="00E176FF"/>
    <w:rsid w:val="00E23D48"/>
    <w:rsid w:val="00E2571A"/>
    <w:rsid w:val="00E30D1C"/>
    <w:rsid w:val="00E31A40"/>
    <w:rsid w:val="00E36708"/>
    <w:rsid w:val="00E36981"/>
    <w:rsid w:val="00E50FB0"/>
    <w:rsid w:val="00E53688"/>
    <w:rsid w:val="00E61A96"/>
    <w:rsid w:val="00E6224E"/>
    <w:rsid w:val="00E64D57"/>
    <w:rsid w:val="00E779B7"/>
    <w:rsid w:val="00E87100"/>
    <w:rsid w:val="00EA0789"/>
    <w:rsid w:val="00EA093E"/>
    <w:rsid w:val="00EA6CF2"/>
    <w:rsid w:val="00EC35F0"/>
    <w:rsid w:val="00EC5727"/>
    <w:rsid w:val="00ED262D"/>
    <w:rsid w:val="00ED2F3D"/>
    <w:rsid w:val="00ED638B"/>
    <w:rsid w:val="00ED77FF"/>
    <w:rsid w:val="00EE30D1"/>
    <w:rsid w:val="00EF2770"/>
    <w:rsid w:val="00EF379E"/>
    <w:rsid w:val="00F015AA"/>
    <w:rsid w:val="00F017A0"/>
    <w:rsid w:val="00F06435"/>
    <w:rsid w:val="00F26222"/>
    <w:rsid w:val="00F3246E"/>
    <w:rsid w:val="00F3366D"/>
    <w:rsid w:val="00F36F03"/>
    <w:rsid w:val="00F45E5B"/>
    <w:rsid w:val="00F46BBD"/>
    <w:rsid w:val="00F56DB8"/>
    <w:rsid w:val="00F641E2"/>
    <w:rsid w:val="00F642A2"/>
    <w:rsid w:val="00F66A4C"/>
    <w:rsid w:val="00F76C48"/>
    <w:rsid w:val="00F77908"/>
    <w:rsid w:val="00F81356"/>
    <w:rsid w:val="00F81F32"/>
    <w:rsid w:val="00F973D9"/>
    <w:rsid w:val="00F973E5"/>
    <w:rsid w:val="00FB1667"/>
    <w:rsid w:val="00FB3AED"/>
    <w:rsid w:val="00FB6BB1"/>
    <w:rsid w:val="00FC1277"/>
    <w:rsid w:val="00FD3A45"/>
    <w:rsid w:val="00FD3F6F"/>
    <w:rsid w:val="00FE7A15"/>
    <w:rsid w:val="00FF3DCB"/>
    <w:rsid w:val="00FF4601"/>
    <w:rsid w:val="00FF553A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67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67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675"/>
    <w:rPr>
      <w:rFonts w:ascii="Tahoma" w:eastAsia="Calibri" w:hAnsi="Tahoma" w:cs="Times New Roman"/>
      <w:sz w:val="16"/>
      <w:szCs w:val="16"/>
    </w:rPr>
  </w:style>
  <w:style w:type="paragraph" w:styleId="a5">
    <w:name w:val="Normal (Web)"/>
    <w:basedOn w:val="a"/>
    <w:uiPriority w:val="99"/>
    <w:unhideWhenUsed/>
    <w:rsid w:val="008E567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8E567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E56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5675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E567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5675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8E56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uiPriority w:val="1"/>
    <w:qFormat/>
    <w:rsid w:val="00ED262D"/>
    <w:rPr>
      <w:rFonts w:eastAsia="Times New Roman"/>
      <w:sz w:val="22"/>
      <w:szCs w:val="22"/>
      <w:lang w:eastAsia="en-US"/>
    </w:rPr>
  </w:style>
  <w:style w:type="character" w:customStyle="1" w:styleId="ad">
    <w:name w:val="Без интервала Знак"/>
    <w:basedOn w:val="a0"/>
    <w:link w:val="ac"/>
    <w:uiPriority w:val="1"/>
    <w:rsid w:val="00ED262D"/>
    <w:rPr>
      <w:rFonts w:eastAsia="Times New Roman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apshina_en\Desktop\&#1051;&#1072;&#1087;&#1096;&#1080;&#1085;&#1072;%20&#1045;.&#1053;\&#1052;&#1055;%20&#1080;%20&#1042;&#1062;&#1055;\&#1043;&#1086;&#1076;&#1086;&#1074;&#1086;&#1081;%20&#1086;&#1090;&#1095;&#1077;&#1090;%20&#1052;&#1055;%20&#1079;&#1072;%202022%20&#1075;&#1086;&#1076;\&#1086;&#1090;&#1095;&#1077;&#1090;%20&#1076;&#1086;&#1084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apshina_en\Desktop\&#1051;&#1072;&#1087;&#1096;&#1080;&#1085;&#1072;%20&#1045;.&#1053;\&#1052;&#1055;%20&#1080;%20&#1042;&#1062;&#1055;\&#1043;&#1086;&#1076;&#1086;&#1074;&#1086;&#1081;%20&#1086;&#1090;&#1095;&#1077;&#1090;%20&#1052;&#1055;%20&#1079;&#1072;%202022%20&#1075;&#1086;&#1076;\&#1086;&#1090;&#1095;&#1077;&#1090;%20&#1076;&#1086;&#1084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Финансирование МП по отраслям, </a:t>
            </a:r>
          </a:p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млн. руб. </a:t>
            </a:r>
          </a:p>
        </c:rich>
      </c:tx>
      <c:layout>
        <c:manualLayout>
          <c:xMode val="edge"/>
          <c:yMode val="edge"/>
          <c:x val="0.13546238795622337"/>
          <c:y val="3.4755636570096671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6.3211886649761989E-2"/>
          <c:y val="0.17857349118069699"/>
          <c:w val="0.51886542995684859"/>
          <c:h val="0.80257241044819183"/>
        </c:manualLayout>
      </c:layout>
      <c:pie3DChart>
        <c:varyColors val="1"/>
        <c:ser>
          <c:idx val="0"/>
          <c:order val="0"/>
          <c:explosion val="10"/>
          <c:dPt>
            <c:idx val="0"/>
            <c:explosion val="3"/>
          </c:dPt>
          <c:dLbls>
            <c:dLbl>
              <c:idx val="0"/>
              <c:layout>
                <c:manualLayout>
                  <c:x val="-0.18324809822501148"/>
                  <c:y val="-1.1549068896500383E-2"/>
                </c:manualLayout>
              </c:layout>
              <c:dLblPos val="bestFit"/>
              <c:showVal val="1"/>
            </c:dLbl>
            <c:dLbl>
              <c:idx val="1"/>
              <c:layout>
                <c:manualLayout>
                  <c:x val="0.11461951154410784"/>
                  <c:y val="-0.10147285044584546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</c:dLbl>
            <c:dLbl>
              <c:idx val="2"/>
              <c:layout>
                <c:manualLayout>
                  <c:x val="7.8423773299524019E-2"/>
                  <c:y val="-5.6715240848409079E-2"/>
                </c:manualLayout>
              </c:layout>
              <c:dLblPos val="bestFit"/>
              <c:showVal val="1"/>
            </c:dLbl>
            <c:dLbl>
              <c:idx val="5"/>
              <c:layout>
                <c:manualLayout>
                  <c:x val="-4.913461356898733E-2"/>
                  <c:y val="-1.3000244039703767E-2"/>
                </c:manualLayout>
              </c:layout>
              <c:showVal val="1"/>
            </c:dLbl>
            <c:dLbl>
              <c:idx val="7"/>
              <c:layout>
                <c:manualLayout>
                  <c:x val="4.5210907958539798E-2"/>
                  <c:y val="-1.2320163910693934E-2"/>
                </c:manualLayout>
              </c:layout>
              <c:dLblPos val="bestFit"/>
              <c:showVal val="1"/>
            </c:dLbl>
            <c:showVal val="1"/>
            <c:showLeaderLines val="1"/>
          </c:dLbls>
          <c:cat>
            <c:strRef>
              <c:f>'Отрасли '!$G$3:$G$10</c:f>
              <c:strCache>
                <c:ptCount val="8"/>
                <c:pt idx="0">
                  <c:v>Образование, физическая культура и спорт, молодежная политика</c:v>
                </c:pt>
                <c:pt idx="1">
                  <c:v>Социальная поддержка населения</c:v>
                </c:pt>
                <c:pt idx="2">
                  <c:v>Культура и туризм</c:v>
                </c:pt>
                <c:pt idx="3">
                  <c:v>Содействие экономическому развитию</c:v>
                </c:pt>
                <c:pt idx="4">
                  <c:v>Жилищно-коммунальное хозяйство, инфраструктура</c:v>
                </c:pt>
                <c:pt idx="5">
                  <c:v>Обеспечение доступным и комфортным жильём </c:v>
                </c:pt>
                <c:pt idx="6">
                  <c:v>Безопасность жизнедеятельности</c:v>
                </c:pt>
                <c:pt idx="7">
                  <c:v>Организация муниципального управления </c:v>
                </c:pt>
              </c:strCache>
            </c:strRef>
          </c:cat>
          <c:val>
            <c:numRef>
              <c:f>'Отрасли '!$H$3:$H$10</c:f>
              <c:numCache>
                <c:formatCode>0.00</c:formatCode>
                <c:ptCount val="8"/>
                <c:pt idx="0">
                  <c:v>3417.7997130000012</c:v>
                </c:pt>
                <c:pt idx="1">
                  <c:v>1612.9332740000002</c:v>
                </c:pt>
                <c:pt idx="2">
                  <c:v>321.24340000000007</c:v>
                </c:pt>
                <c:pt idx="3">
                  <c:v>2.7880780000000001</c:v>
                </c:pt>
                <c:pt idx="4">
                  <c:v>2439.0519778000057</c:v>
                </c:pt>
                <c:pt idx="5">
                  <c:v>147.97629000000001</c:v>
                </c:pt>
                <c:pt idx="6">
                  <c:v>20.334800000000048</c:v>
                </c:pt>
                <c:pt idx="7">
                  <c:v>123.89336999999999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58159620249291566"/>
          <c:y val="0.20834362370571982"/>
          <c:w val="0.39193502698955163"/>
          <c:h val="0.70884129163576404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Фактические объемы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 финансирования, млн.руб 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6617376674069587"/>
          <c:y val="3.68789908724097E-2"/>
        </c:manualLayout>
      </c:layout>
      <c:spPr>
        <a:noFill/>
        <a:ln w="25400">
          <a:noFill/>
        </a:ln>
      </c:spPr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9.4250000000000264E-2"/>
          <c:y val="0.11505807563567105"/>
          <c:w val="0.53038927545303305"/>
          <c:h val="0.79241795547683946"/>
        </c:manualLayout>
      </c:layout>
      <c:pie3DChart>
        <c:varyColors val="1"/>
        <c:ser>
          <c:idx val="0"/>
          <c:order val="0"/>
          <c:explosion val="26"/>
          <c:dPt>
            <c:idx val="0"/>
            <c:explosion val="7"/>
          </c:dPt>
          <c:dPt>
            <c:idx val="1"/>
            <c:explosion val="13"/>
          </c:dPt>
          <c:dPt>
            <c:idx val="2"/>
            <c:explosion val="8"/>
          </c:dPt>
          <c:dPt>
            <c:idx val="3"/>
            <c:explosion val="0"/>
          </c:dPt>
          <c:dLbls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7</a:t>
                    </a:r>
                    <a:r>
                      <a:rPr lang="en-US"/>
                      <a:t>,</a:t>
                    </a:r>
                    <a:r>
                      <a:rPr lang="ru-RU"/>
                      <a:t>15</a:t>
                    </a:r>
                    <a:endParaRPr lang="en-US"/>
                  </a:p>
                </c:rich>
              </c:tx>
              <c:showVal val="1"/>
            </c:dLbl>
            <c:spPr>
              <a:noFill/>
              <a:ln w="25400">
                <a:noFill/>
              </a:ln>
            </c:spPr>
            <c:showVal val="1"/>
            <c:showLeaderLines val="1"/>
          </c:dLbls>
          <c:cat>
            <c:strRef>
              <c:f>'Отрасли '!$G$39:$G$42</c:f>
              <c:strCache>
                <c:ptCount val="4"/>
                <c:pt idx="0">
                  <c:v>Городской бюджет </c:v>
                </c:pt>
                <c:pt idx="1">
                  <c:v>Областной бюджет </c:v>
                </c:pt>
                <c:pt idx="2">
                  <c:v>Федеральный бюджет </c:v>
                </c:pt>
                <c:pt idx="3">
                  <c:v>Другие источники </c:v>
                </c:pt>
              </c:strCache>
            </c:strRef>
          </c:cat>
          <c:val>
            <c:numRef>
              <c:f>'Отрасли '!$H$39:$H$42</c:f>
              <c:numCache>
                <c:formatCode>0.00</c:formatCode>
                <c:ptCount val="4"/>
                <c:pt idx="0">
                  <c:v>2070.7861078000001</c:v>
                </c:pt>
                <c:pt idx="1">
                  <c:v>3822.9943900000012</c:v>
                </c:pt>
                <c:pt idx="2">
                  <c:v>1986.6698999999999</c:v>
                </c:pt>
                <c:pt idx="3">
                  <c:v>102.13126000000013</c:v>
                </c:pt>
              </c:numCache>
            </c:numRef>
          </c:val>
        </c:ser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0320562780976261"/>
          <c:y val="0.36212676078212241"/>
          <c:w val="0.31261243057448873"/>
          <c:h val="0.2853319666402655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621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Коэффициент привлечения средств вышестоящих бюджетов</a:t>
            </a:r>
          </a:p>
        </c:rich>
      </c:tx>
    </c:title>
    <c:plotArea>
      <c:layout/>
      <c:lineChart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1"/>
              <c:layout>
                <c:manualLayout>
                  <c:x val="-4.2260961436872734E-3"/>
                  <c:y val="-5.383022774327168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2260961436872704E-2"/>
                  <c:y val="-6.2111801242236586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1130480718436345E-2"/>
                  <c:y val="-6.2111801242236586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2.3243528790280001E-2"/>
                  <c:y val="-5.383055378947195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014791336502898E-2"/>
                  <c:y val="-6.2111801242236586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2260961436872704E-2"/>
                  <c:y val="-4.5548654244306423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4374009508716512E-2"/>
                  <c:y val="-4.968944099378882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2.4205748865355665E-2"/>
                  <c:y val="-3.9867109634551492E-2"/>
                </c:manualLayout>
              </c:layout>
              <c:showVal val="1"/>
            </c:dLbl>
            <c:dLbl>
              <c:idx val="10"/>
              <c:layout>
                <c:manualLayout>
                  <c:x val="-2.2188603126575949E-2"/>
                  <c:y val="-6.2444868810003412E-2"/>
                </c:manualLayout>
              </c:layout>
              <c:showVal val="1"/>
            </c:dLbl>
            <c:dLbl>
              <c:idx val="11"/>
              <c:layout>
                <c:manualLayout>
                  <c:x val="-3.0257186081694448E-2"/>
                  <c:y val="-5.7585825027685486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numRef>
              <c:f>Лист1!$A$2:$A$13</c:f>
              <c:numCache>
                <c:formatCode>General</c:formatCod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2021</c:v>
                </c:pt>
                <c:pt idx="11">
                  <c:v>2022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2.58</c:v>
                </c:pt>
                <c:pt idx="1">
                  <c:v>1.49</c:v>
                </c:pt>
                <c:pt idx="2">
                  <c:v>0.93</c:v>
                </c:pt>
                <c:pt idx="3">
                  <c:v>1.49</c:v>
                </c:pt>
                <c:pt idx="4">
                  <c:v>1.6</c:v>
                </c:pt>
                <c:pt idx="5">
                  <c:v>1.75</c:v>
                </c:pt>
                <c:pt idx="6">
                  <c:v>1.85</c:v>
                </c:pt>
                <c:pt idx="7">
                  <c:v>2.25</c:v>
                </c:pt>
                <c:pt idx="8">
                  <c:v>2.52</c:v>
                </c:pt>
                <c:pt idx="9">
                  <c:v>2.96</c:v>
                </c:pt>
                <c:pt idx="10">
                  <c:v>2.9</c:v>
                </c:pt>
                <c:pt idx="11">
                  <c:v>2.9299999999999997</c:v>
                </c:pt>
              </c:numCache>
            </c:numRef>
          </c:val>
        </c:ser>
        <c:marker val="1"/>
        <c:axId val="108772352"/>
        <c:axId val="108820352"/>
      </c:lineChart>
      <c:catAx>
        <c:axId val="108772352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8820352"/>
        <c:crosses val="autoZero"/>
        <c:auto val="1"/>
        <c:lblAlgn val="ctr"/>
        <c:lblOffset val="100"/>
      </c:catAx>
      <c:valAx>
        <c:axId val="108820352"/>
        <c:scaling>
          <c:orientation val="minMax"/>
        </c:scaling>
        <c:axPos val="l"/>
        <c:majorGridlines>
          <c:spPr>
            <a:ln w="0">
              <a:solidFill>
                <a:schemeClr val="bg1"/>
              </a:solidFill>
            </a:ln>
          </c:spPr>
        </c:majorGridlines>
        <c:numFmt formatCode="General" sourceLinked="1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8772352"/>
        <c:crosses val="autoZero"/>
        <c:crossBetween val="between"/>
      </c:valAx>
    </c:plotArea>
    <c:plotVisOnly val="1"/>
    <c:dispBlanksAs val="zero"/>
  </c:chart>
  <c:spPr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299103-4909-4A90-907F-8DC11F765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1500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РЕАЛИЗАЦИИ МУНИЦИПАЛЬНЫХ И ВЕДОМСТВЕННЫХ ЦЕЛЕВЫХ ПРОГРАММ</vt:lpstr>
    </vt:vector>
  </TitlesOfParts>
  <Company>Управление экономического развития и инвестиций</Company>
  <LinksUpToDate>false</LinksUpToDate>
  <CharactersWithSpaces>10030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РЕАЛИЗАЦИИ МУНИЦИПАЛЬНЫХ И ВЕДОМСТВЕННЫХ ЦЕЛЕВЫХ ПРОГРАММ</dc:title>
  <dc:creator>pokrovskaya_ev</dc:creator>
  <cp:lastModifiedBy>lapshina_en</cp:lastModifiedBy>
  <cp:revision>2</cp:revision>
  <cp:lastPrinted>2023-04-03T12:26:00Z</cp:lastPrinted>
  <dcterms:created xsi:type="dcterms:W3CDTF">2023-04-03T12:29:00Z</dcterms:created>
  <dcterms:modified xsi:type="dcterms:W3CDTF">2023-04-03T12:29:00Z</dcterms:modified>
</cp:coreProperties>
</file>